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09CFA" w14:textId="28DA8455" w:rsidR="00402761" w:rsidRDefault="00402761" w:rsidP="002233DA">
      <w:pPr>
        <w:spacing w:before="80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48A8C2" wp14:editId="18A89D71">
            <wp:simplePos x="0" y="0"/>
            <wp:positionH relativeFrom="page">
              <wp:posOffset>2871730</wp:posOffset>
            </wp:positionH>
            <wp:positionV relativeFrom="paragraph">
              <wp:posOffset>201811</wp:posOffset>
            </wp:positionV>
            <wp:extent cx="1825487" cy="748665"/>
            <wp:effectExtent l="0" t="0" r="0" b="0"/>
            <wp:wrapTopAndBottom/>
            <wp:docPr id="1" name="image1.png" descr="Hayfiel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ayfield Parish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87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31CBA" w14:textId="47AF6872" w:rsidR="00402761" w:rsidRDefault="00402761" w:rsidP="00402761">
      <w:pPr>
        <w:spacing w:before="95" w:line="252" w:lineRule="auto"/>
        <w:ind w:left="1966" w:right="1848"/>
        <w:jc w:val="center"/>
        <w:rPr>
          <w:color w:val="0000FF"/>
          <w:w w:val="105"/>
          <w:sz w:val="19"/>
          <w:u w:val="single" w:color="0000FF"/>
        </w:rPr>
      </w:pPr>
      <w:r>
        <w:rPr>
          <w:w w:val="105"/>
          <w:sz w:val="19"/>
        </w:rPr>
        <w:t xml:space="preserve">Council Offices, Dungeon Brow, Market Street, Hayfield, High Peak, SK22 2EP Tel. 01663 744550. Email: </w:t>
      </w:r>
      <w:hyperlink r:id="rId8">
        <w:r>
          <w:rPr>
            <w:color w:val="0000FF"/>
            <w:w w:val="105"/>
            <w:sz w:val="19"/>
            <w:u w:val="single" w:color="0000FF"/>
          </w:rPr>
          <w:t>clerk@hayfield-pc.gov.uk</w:t>
        </w:r>
      </w:hyperlink>
    </w:p>
    <w:p w14:paraId="2F46A9E1" w14:textId="77777777" w:rsidR="00EE2668" w:rsidRPr="0068330C" w:rsidRDefault="00EE2668" w:rsidP="00513167">
      <w:pPr>
        <w:spacing w:before="95"/>
        <w:ind w:left="1966" w:right="1848"/>
        <w:jc w:val="center"/>
        <w:rPr>
          <w:sz w:val="24"/>
          <w:szCs w:val="24"/>
        </w:rPr>
      </w:pPr>
    </w:p>
    <w:p w14:paraId="0E610CA2" w14:textId="0498FD62" w:rsidR="003D5403" w:rsidRPr="00CB6F99" w:rsidRDefault="003D5403" w:rsidP="003D5403">
      <w:pPr>
        <w:jc w:val="center"/>
        <w:rPr>
          <w:b/>
          <w:bCs/>
          <w:color w:val="000000"/>
          <w:sz w:val="24"/>
          <w:szCs w:val="24"/>
        </w:rPr>
      </w:pPr>
      <w:r w:rsidRPr="00CB6F99">
        <w:rPr>
          <w:b/>
          <w:bCs/>
          <w:color w:val="C00000"/>
          <w:sz w:val="24"/>
          <w:szCs w:val="24"/>
        </w:rPr>
        <w:t>DRAFT</w:t>
      </w:r>
      <w:r w:rsidRPr="00CB6F99">
        <w:rPr>
          <w:b/>
          <w:bCs/>
          <w:color w:val="000000"/>
          <w:sz w:val="24"/>
          <w:szCs w:val="24"/>
        </w:rPr>
        <w:t xml:space="preserve"> – Minutes of Hayfield Parish Council Finance Committee meeting held at 1700hrs on Wednesday </w:t>
      </w:r>
      <w:r w:rsidR="00832D9B" w:rsidRPr="00CB6F99">
        <w:rPr>
          <w:b/>
          <w:bCs/>
          <w:color w:val="000000"/>
          <w:sz w:val="24"/>
          <w:szCs w:val="24"/>
        </w:rPr>
        <w:t>17</w:t>
      </w:r>
      <w:r w:rsidR="00832D9B" w:rsidRPr="00CB6F99">
        <w:rPr>
          <w:b/>
          <w:bCs/>
          <w:color w:val="000000"/>
          <w:sz w:val="24"/>
          <w:szCs w:val="24"/>
          <w:vertAlign w:val="superscript"/>
        </w:rPr>
        <w:t>th</w:t>
      </w:r>
      <w:r w:rsidR="00832D9B" w:rsidRPr="00CB6F99">
        <w:rPr>
          <w:b/>
          <w:bCs/>
          <w:color w:val="000000"/>
          <w:sz w:val="24"/>
          <w:szCs w:val="24"/>
        </w:rPr>
        <w:t xml:space="preserve"> July</w:t>
      </w:r>
      <w:r w:rsidRPr="00CB6F99">
        <w:rPr>
          <w:b/>
          <w:bCs/>
          <w:color w:val="000000"/>
          <w:sz w:val="24"/>
          <w:szCs w:val="24"/>
        </w:rPr>
        <w:t xml:space="preserve"> 2024 at the Village Hall, Hayfield.</w:t>
      </w:r>
    </w:p>
    <w:p w14:paraId="620C568B" w14:textId="77777777" w:rsidR="003D5403" w:rsidRPr="00CB6F99" w:rsidRDefault="003D5403" w:rsidP="00513167">
      <w:pPr>
        <w:spacing w:before="95"/>
        <w:ind w:left="1966" w:right="1848"/>
        <w:jc w:val="center"/>
        <w:rPr>
          <w:sz w:val="24"/>
          <w:szCs w:val="24"/>
        </w:rPr>
      </w:pPr>
    </w:p>
    <w:p w14:paraId="4C10E983" w14:textId="089BED7B" w:rsidR="00402761" w:rsidRPr="008C1E28" w:rsidRDefault="003D5403" w:rsidP="001C3DAA">
      <w:pPr>
        <w:pStyle w:val="BodyText"/>
        <w:tabs>
          <w:tab w:val="left" w:pos="8869"/>
        </w:tabs>
        <w:spacing w:line="240" w:lineRule="auto"/>
        <w:ind w:left="229"/>
        <w:rPr>
          <w:w w:val="105"/>
          <w:sz w:val="22"/>
          <w:szCs w:val="22"/>
        </w:rPr>
      </w:pPr>
      <w:r w:rsidRPr="008C1E28">
        <w:rPr>
          <w:b/>
          <w:bCs/>
          <w:w w:val="105"/>
          <w:sz w:val="22"/>
          <w:szCs w:val="22"/>
        </w:rPr>
        <w:t>Present:</w:t>
      </w:r>
      <w:r w:rsidRPr="008C1E28">
        <w:rPr>
          <w:w w:val="105"/>
          <w:sz w:val="22"/>
          <w:szCs w:val="22"/>
        </w:rPr>
        <w:t xml:space="preserve"> Cllr </w:t>
      </w:r>
      <w:proofErr w:type="gramStart"/>
      <w:r w:rsidRPr="008C1E28">
        <w:rPr>
          <w:w w:val="105"/>
          <w:sz w:val="22"/>
          <w:szCs w:val="22"/>
        </w:rPr>
        <w:t>D.Gouldthorpe</w:t>
      </w:r>
      <w:proofErr w:type="gramEnd"/>
      <w:r w:rsidRPr="008C1E28">
        <w:rPr>
          <w:w w:val="105"/>
          <w:sz w:val="22"/>
          <w:szCs w:val="22"/>
        </w:rPr>
        <w:t xml:space="preserve"> (In The Chair), </w:t>
      </w:r>
      <w:r w:rsidR="00A31F74" w:rsidRPr="008C1E28">
        <w:rPr>
          <w:w w:val="105"/>
          <w:sz w:val="22"/>
          <w:szCs w:val="22"/>
        </w:rPr>
        <w:t>M.Conway</w:t>
      </w:r>
      <w:r w:rsidR="0080217D" w:rsidRPr="008C1E28">
        <w:rPr>
          <w:w w:val="105"/>
          <w:sz w:val="22"/>
          <w:szCs w:val="22"/>
        </w:rPr>
        <w:t xml:space="preserve">, D.Toft, </w:t>
      </w:r>
      <w:r w:rsidR="00A31F74" w:rsidRPr="008C1E28">
        <w:rPr>
          <w:w w:val="105"/>
          <w:sz w:val="22"/>
          <w:szCs w:val="22"/>
        </w:rPr>
        <w:t>T.Ashton</w:t>
      </w:r>
      <w:r w:rsidR="0080217D" w:rsidRPr="008C1E28">
        <w:rPr>
          <w:w w:val="105"/>
          <w:sz w:val="22"/>
          <w:szCs w:val="22"/>
        </w:rPr>
        <w:t xml:space="preserve"> and K.Dalkin</w:t>
      </w:r>
    </w:p>
    <w:p w14:paraId="610124B5" w14:textId="3B69C642" w:rsidR="003D5403" w:rsidRPr="008C1E28" w:rsidRDefault="003D5403" w:rsidP="001C3DAA">
      <w:pPr>
        <w:pStyle w:val="BodyText"/>
        <w:tabs>
          <w:tab w:val="left" w:pos="8869"/>
        </w:tabs>
        <w:spacing w:line="240" w:lineRule="auto"/>
        <w:ind w:left="229"/>
        <w:rPr>
          <w:w w:val="105"/>
          <w:sz w:val="22"/>
          <w:szCs w:val="22"/>
        </w:rPr>
      </w:pPr>
      <w:r w:rsidRPr="008C1E28">
        <w:rPr>
          <w:b/>
          <w:bCs/>
          <w:w w:val="105"/>
          <w:sz w:val="22"/>
          <w:szCs w:val="22"/>
        </w:rPr>
        <w:t>Also Present:</w:t>
      </w:r>
      <w:r w:rsidRPr="008C1E28">
        <w:rPr>
          <w:w w:val="105"/>
          <w:sz w:val="22"/>
          <w:szCs w:val="22"/>
        </w:rPr>
        <w:t xml:space="preserve"> </w:t>
      </w:r>
      <w:proofErr w:type="gramStart"/>
      <w:r w:rsidRPr="008C1E28">
        <w:rPr>
          <w:w w:val="105"/>
          <w:sz w:val="22"/>
          <w:szCs w:val="22"/>
        </w:rPr>
        <w:t>H.Mason</w:t>
      </w:r>
      <w:proofErr w:type="gramEnd"/>
      <w:r w:rsidRPr="008C1E28">
        <w:rPr>
          <w:w w:val="105"/>
          <w:sz w:val="22"/>
          <w:szCs w:val="22"/>
        </w:rPr>
        <w:t xml:space="preserve"> HPC Clerk.</w:t>
      </w:r>
    </w:p>
    <w:p w14:paraId="60C75389" w14:textId="77777777" w:rsidR="001C3DAA" w:rsidRPr="008C1E28" w:rsidRDefault="001C3DAA" w:rsidP="001C3DAA">
      <w:pPr>
        <w:pStyle w:val="BodyText"/>
        <w:tabs>
          <w:tab w:val="left" w:pos="8869"/>
        </w:tabs>
        <w:spacing w:line="240" w:lineRule="auto"/>
        <w:rPr>
          <w:b/>
          <w:bCs/>
          <w:sz w:val="22"/>
          <w:szCs w:val="22"/>
        </w:rPr>
      </w:pPr>
    </w:p>
    <w:p w14:paraId="7828E93F" w14:textId="5AB51C99" w:rsidR="003D5403" w:rsidRPr="008C1E28" w:rsidRDefault="003D5403" w:rsidP="001C3DAA">
      <w:pPr>
        <w:pStyle w:val="BodyText"/>
        <w:tabs>
          <w:tab w:val="left" w:pos="8869"/>
        </w:tabs>
        <w:spacing w:line="240" w:lineRule="auto"/>
        <w:rPr>
          <w:w w:val="105"/>
          <w:sz w:val="22"/>
          <w:szCs w:val="22"/>
        </w:rPr>
      </w:pPr>
      <w:r w:rsidRPr="008C1E28">
        <w:rPr>
          <w:b/>
          <w:bCs/>
          <w:w w:val="105"/>
          <w:sz w:val="22"/>
          <w:szCs w:val="22"/>
        </w:rPr>
        <w:t>F0</w:t>
      </w:r>
      <w:r w:rsidR="00832D9B" w:rsidRPr="008C1E28">
        <w:rPr>
          <w:b/>
          <w:bCs/>
          <w:w w:val="105"/>
          <w:sz w:val="22"/>
          <w:szCs w:val="22"/>
        </w:rPr>
        <w:t>7</w:t>
      </w:r>
      <w:r w:rsidRPr="008C1E28">
        <w:rPr>
          <w:b/>
          <w:bCs/>
          <w:w w:val="105"/>
          <w:sz w:val="22"/>
          <w:szCs w:val="22"/>
        </w:rPr>
        <w:t>24/0</w:t>
      </w:r>
      <w:r w:rsidR="00A25ADA" w:rsidRPr="008C1E28">
        <w:rPr>
          <w:b/>
          <w:bCs/>
          <w:w w:val="105"/>
          <w:sz w:val="22"/>
          <w:szCs w:val="22"/>
        </w:rPr>
        <w:t>1</w:t>
      </w:r>
      <w:r w:rsidRPr="008C1E28">
        <w:rPr>
          <w:b/>
          <w:bCs/>
          <w:w w:val="105"/>
          <w:sz w:val="22"/>
          <w:szCs w:val="22"/>
        </w:rPr>
        <w:t xml:space="preserve"> To receive apologies for</w:t>
      </w:r>
      <w:r w:rsidRPr="008C1E28">
        <w:rPr>
          <w:b/>
          <w:bCs/>
          <w:spacing w:val="4"/>
          <w:w w:val="105"/>
          <w:sz w:val="22"/>
          <w:szCs w:val="22"/>
        </w:rPr>
        <w:t xml:space="preserve"> </w:t>
      </w:r>
      <w:r w:rsidRPr="008C1E28">
        <w:rPr>
          <w:b/>
          <w:bCs/>
          <w:w w:val="105"/>
          <w:sz w:val="22"/>
          <w:szCs w:val="22"/>
        </w:rPr>
        <w:t xml:space="preserve">absence – </w:t>
      </w:r>
      <w:r w:rsidRPr="008C1E28">
        <w:rPr>
          <w:w w:val="105"/>
          <w:sz w:val="22"/>
          <w:szCs w:val="22"/>
        </w:rPr>
        <w:t xml:space="preserve">Cllr </w:t>
      </w:r>
      <w:proofErr w:type="gramStart"/>
      <w:r w:rsidR="0080217D" w:rsidRPr="008C1E28">
        <w:rPr>
          <w:w w:val="105"/>
          <w:sz w:val="22"/>
          <w:szCs w:val="22"/>
        </w:rPr>
        <w:t>A.Feetham</w:t>
      </w:r>
      <w:proofErr w:type="gramEnd"/>
      <w:r w:rsidR="0080217D" w:rsidRPr="008C1E28">
        <w:rPr>
          <w:w w:val="105"/>
          <w:sz w:val="22"/>
          <w:szCs w:val="22"/>
        </w:rPr>
        <w:t>.</w:t>
      </w:r>
    </w:p>
    <w:p w14:paraId="003087C3" w14:textId="77777777" w:rsidR="003D5403" w:rsidRPr="008C1E28" w:rsidRDefault="003D5403" w:rsidP="001C3DAA">
      <w:pPr>
        <w:pStyle w:val="Heading1"/>
        <w:tabs>
          <w:tab w:val="left" w:pos="938"/>
          <w:tab w:val="left" w:pos="939"/>
        </w:tabs>
        <w:ind w:left="709"/>
        <w:rPr>
          <w:w w:val="105"/>
          <w:sz w:val="22"/>
          <w:szCs w:val="22"/>
        </w:rPr>
      </w:pPr>
    </w:p>
    <w:p w14:paraId="61884D4D" w14:textId="04CB33CB" w:rsidR="003D5403" w:rsidRPr="008C1E28" w:rsidRDefault="003D5403" w:rsidP="001C3DAA">
      <w:pPr>
        <w:pStyle w:val="Heading1"/>
        <w:tabs>
          <w:tab w:val="left" w:pos="938"/>
          <w:tab w:val="left" w:pos="939"/>
        </w:tabs>
        <w:ind w:left="709"/>
        <w:rPr>
          <w:sz w:val="22"/>
          <w:szCs w:val="22"/>
        </w:rPr>
      </w:pPr>
      <w:r w:rsidRPr="008C1E28">
        <w:rPr>
          <w:w w:val="105"/>
          <w:sz w:val="22"/>
          <w:szCs w:val="22"/>
        </w:rPr>
        <w:t>F0</w:t>
      </w:r>
      <w:r w:rsidR="00832D9B" w:rsidRPr="008C1E28">
        <w:rPr>
          <w:w w:val="105"/>
          <w:sz w:val="22"/>
          <w:szCs w:val="22"/>
        </w:rPr>
        <w:t>7</w:t>
      </w:r>
      <w:r w:rsidRPr="008C1E28">
        <w:rPr>
          <w:w w:val="105"/>
          <w:sz w:val="22"/>
          <w:szCs w:val="22"/>
        </w:rPr>
        <w:t>24/0</w:t>
      </w:r>
      <w:r w:rsidR="00A25ADA" w:rsidRPr="008C1E28">
        <w:rPr>
          <w:w w:val="105"/>
          <w:sz w:val="22"/>
          <w:szCs w:val="22"/>
        </w:rPr>
        <w:t>2</w:t>
      </w:r>
      <w:r w:rsidRPr="008C1E28">
        <w:rPr>
          <w:w w:val="105"/>
          <w:sz w:val="22"/>
          <w:szCs w:val="22"/>
        </w:rPr>
        <w:t xml:space="preserve"> Variations of order of</w:t>
      </w:r>
      <w:r w:rsidRPr="008C1E28">
        <w:rPr>
          <w:spacing w:val="4"/>
          <w:w w:val="105"/>
          <w:sz w:val="22"/>
          <w:szCs w:val="22"/>
        </w:rPr>
        <w:t xml:space="preserve"> </w:t>
      </w:r>
      <w:r w:rsidRPr="008C1E28">
        <w:rPr>
          <w:w w:val="105"/>
          <w:sz w:val="22"/>
          <w:szCs w:val="22"/>
        </w:rPr>
        <w:t>busines</w:t>
      </w:r>
      <w:r w:rsidR="001C3DAA" w:rsidRPr="008C1E28">
        <w:rPr>
          <w:w w:val="105"/>
          <w:sz w:val="22"/>
          <w:szCs w:val="22"/>
        </w:rPr>
        <w:t xml:space="preserve">s – </w:t>
      </w:r>
      <w:r w:rsidR="001C3DAA" w:rsidRPr="008C1E28">
        <w:rPr>
          <w:b w:val="0"/>
          <w:bCs w:val="0"/>
          <w:w w:val="105"/>
          <w:sz w:val="22"/>
          <w:szCs w:val="22"/>
        </w:rPr>
        <w:t>Nil.</w:t>
      </w:r>
    </w:p>
    <w:p w14:paraId="485D2E3F" w14:textId="450A704B" w:rsidR="003D5403" w:rsidRPr="008C1E28" w:rsidRDefault="003D5403" w:rsidP="001C3DAA">
      <w:pPr>
        <w:pStyle w:val="BodyText"/>
        <w:tabs>
          <w:tab w:val="left" w:pos="8869"/>
        </w:tabs>
        <w:spacing w:line="240" w:lineRule="auto"/>
        <w:rPr>
          <w:w w:val="105"/>
          <w:sz w:val="22"/>
          <w:szCs w:val="22"/>
        </w:rPr>
      </w:pPr>
    </w:p>
    <w:p w14:paraId="5158A3A1" w14:textId="557FD9BD" w:rsidR="003D5403" w:rsidRPr="008C1E28" w:rsidRDefault="003D5403" w:rsidP="001C3DAA">
      <w:pPr>
        <w:pStyle w:val="Heading1"/>
        <w:tabs>
          <w:tab w:val="left" w:pos="938"/>
          <w:tab w:val="left" w:pos="939"/>
        </w:tabs>
        <w:ind w:left="709"/>
        <w:rPr>
          <w:sz w:val="22"/>
          <w:szCs w:val="22"/>
        </w:rPr>
      </w:pPr>
      <w:r w:rsidRPr="008C1E28">
        <w:rPr>
          <w:w w:val="105"/>
          <w:sz w:val="22"/>
          <w:szCs w:val="22"/>
        </w:rPr>
        <w:t>F0</w:t>
      </w:r>
      <w:r w:rsidR="00832D9B" w:rsidRPr="008C1E28">
        <w:rPr>
          <w:w w:val="105"/>
          <w:sz w:val="22"/>
          <w:szCs w:val="22"/>
        </w:rPr>
        <w:t>7</w:t>
      </w:r>
      <w:r w:rsidRPr="008C1E28">
        <w:rPr>
          <w:w w:val="105"/>
          <w:sz w:val="22"/>
          <w:szCs w:val="22"/>
        </w:rPr>
        <w:t>24/0</w:t>
      </w:r>
      <w:r w:rsidR="00A25ADA" w:rsidRPr="008C1E28">
        <w:rPr>
          <w:w w:val="105"/>
          <w:sz w:val="22"/>
          <w:szCs w:val="22"/>
        </w:rPr>
        <w:t>3</w:t>
      </w:r>
      <w:r w:rsidRPr="008C1E28">
        <w:rPr>
          <w:w w:val="105"/>
          <w:sz w:val="22"/>
          <w:szCs w:val="22"/>
        </w:rPr>
        <w:t xml:space="preserve"> Declaration of members'</w:t>
      </w:r>
      <w:r w:rsidRPr="008C1E28">
        <w:rPr>
          <w:spacing w:val="2"/>
          <w:w w:val="105"/>
          <w:sz w:val="22"/>
          <w:szCs w:val="22"/>
        </w:rPr>
        <w:t xml:space="preserve"> </w:t>
      </w:r>
      <w:r w:rsidRPr="008C1E28">
        <w:rPr>
          <w:w w:val="105"/>
          <w:sz w:val="22"/>
          <w:szCs w:val="22"/>
        </w:rPr>
        <w:t>interests</w:t>
      </w:r>
      <w:r w:rsidR="001C3DAA" w:rsidRPr="008C1E28">
        <w:rPr>
          <w:w w:val="105"/>
          <w:sz w:val="22"/>
          <w:szCs w:val="22"/>
        </w:rPr>
        <w:t xml:space="preserve"> – </w:t>
      </w:r>
      <w:r w:rsidR="001C3DAA" w:rsidRPr="008C1E28">
        <w:rPr>
          <w:b w:val="0"/>
          <w:bCs w:val="0"/>
          <w:w w:val="105"/>
          <w:sz w:val="22"/>
          <w:szCs w:val="22"/>
        </w:rPr>
        <w:t>Nil.</w:t>
      </w:r>
    </w:p>
    <w:p w14:paraId="260ECAAC" w14:textId="508A27E3" w:rsidR="003D5403" w:rsidRPr="008C1E28" w:rsidRDefault="003D5403" w:rsidP="001C3DAA">
      <w:pPr>
        <w:pStyle w:val="BodyText"/>
        <w:tabs>
          <w:tab w:val="left" w:pos="8869"/>
        </w:tabs>
        <w:spacing w:line="240" w:lineRule="auto"/>
        <w:rPr>
          <w:w w:val="105"/>
          <w:sz w:val="22"/>
          <w:szCs w:val="22"/>
        </w:rPr>
      </w:pPr>
    </w:p>
    <w:p w14:paraId="581658B1" w14:textId="5A78E05F" w:rsidR="003D5403" w:rsidRPr="008C1E28" w:rsidRDefault="003D5403" w:rsidP="001C3DAA">
      <w:pPr>
        <w:pStyle w:val="Heading1"/>
        <w:tabs>
          <w:tab w:val="left" w:pos="938"/>
          <w:tab w:val="left" w:pos="939"/>
        </w:tabs>
        <w:ind w:left="709"/>
        <w:rPr>
          <w:b w:val="0"/>
          <w:bCs w:val="0"/>
          <w:sz w:val="22"/>
          <w:szCs w:val="22"/>
        </w:rPr>
      </w:pPr>
      <w:r w:rsidRPr="008C1E28">
        <w:rPr>
          <w:w w:val="105"/>
          <w:sz w:val="22"/>
          <w:szCs w:val="22"/>
        </w:rPr>
        <w:t>F0</w:t>
      </w:r>
      <w:r w:rsidR="00832D9B" w:rsidRPr="008C1E28">
        <w:rPr>
          <w:w w:val="105"/>
          <w:sz w:val="22"/>
          <w:szCs w:val="22"/>
        </w:rPr>
        <w:t>7</w:t>
      </w:r>
      <w:r w:rsidRPr="008C1E28">
        <w:rPr>
          <w:w w:val="105"/>
          <w:sz w:val="22"/>
          <w:szCs w:val="22"/>
        </w:rPr>
        <w:t>24/0</w:t>
      </w:r>
      <w:r w:rsidR="00A25ADA" w:rsidRPr="008C1E28">
        <w:rPr>
          <w:w w:val="105"/>
          <w:sz w:val="22"/>
          <w:szCs w:val="22"/>
        </w:rPr>
        <w:t>4</w:t>
      </w:r>
      <w:r w:rsidRPr="008C1E28">
        <w:rPr>
          <w:w w:val="105"/>
          <w:sz w:val="22"/>
          <w:szCs w:val="22"/>
        </w:rPr>
        <w:t xml:space="preserve"> Meeting Minutes – </w:t>
      </w:r>
      <w:r w:rsidR="00F6546F" w:rsidRPr="008C1E28">
        <w:rPr>
          <w:b w:val="0"/>
          <w:bCs w:val="0"/>
          <w:w w:val="105"/>
          <w:sz w:val="22"/>
          <w:szCs w:val="22"/>
        </w:rPr>
        <w:t>T</w:t>
      </w:r>
      <w:r w:rsidRPr="008C1E28">
        <w:rPr>
          <w:b w:val="0"/>
          <w:bCs w:val="0"/>
          <w:w w:val="105"/>
          <w:sz w:val="22"/>
          <w:szCs w:val="22"/>
        </w:rPr>
        <w:t>he minutes of the Finance Committee meeting of Wednesday 1</w:t>
      </w:r>
      <w:r w:rsidR="00832D9B" w:rsidRPr="008C1E28">
        <w:rPr>
          <w:b w:val="0"/>
          <w:bCs w:val="0"/>
          <w:w w:val="105"/>
          <w:sz w:val="22"/>
          <w:szCs w:val="22"/>
        </w:rPr>
        <w:t>9</w:t>
      </w:r>
      <w:r w:rsidR="00832D9B" w:rsidRPr="008C1E28">
        <w:rPr>
          <w:b w:val="0"/>
          <w:bCs w:val="0"/>
          <w:w w:val="105"/>
          <w:sz w:val="22"/>
          <w:szCs w:val="22"/>
          <w:vertAlign w:val="superscript"/>
        </w:rPr>
        <w:t>th</w:t>
      </w:r>
      <w:r w:rsidR="00832D9B" w:rsidRPr="008C1E28">
        <w:rPr>
          <w:b w:val="0"/>
          <w:bCs w:val="0"/>
          <w:w w:val="105"/>
          <w:sz w:val="22"/>
          <w:szCs w:val="22"/>
        </w:rPr>
        <w:t xml:space="preserve"> June</w:t>
      </w:r>
      <w:r w:rsidRPr="008C1E28">
        <w:rPr>
          <w:b w:val="0"/>
          <w:bCs w:val="0"/>
          <w:w w:val="105"/>
          <w:sz w:val="22"/>
          <w:szCs w:val="22"/>
        </w:rPr>
        <w:t xml:space="preserve"> 2024</w:t>
      </w:r>
      <w:r w:rsidR="00F6546F" w:rsidRPr="008C1E28">
        <w:rPr>
          <w:b w:val="0"/>
          <w:bCs w:val="0"/>
          <w:w w:val="105"/>
          <w:sz w:val="22"/>
          <w:szCs w:val="22"/>
        </w:rPr>
        <w:t xml:space="preserve"> </w:t>
      </w:r>
      <w:r w:rsidR="00832D9B" w:rsidRPr="008C1E28">
        <w:rPr>
          <w:b w:val="0"/>
          <w:bCs w:val="0"/>
          <w:w w:val="105"/>
          <w:sz w:val="22"/>
          <w:szCs w:val="22"/>
        </w:rPr>
        <w:t>were confirmed</w:t>
      </w:r>
    </w:p>
    <w:p w14:paraId="00B01A52" w14:textId="6C555FC8" w:rsidR="003D5403" w:rsidRPr="008C1E28" w:rsidRDefault="003D5403" w:rsidP="001C3DAA">
      <w:pPr>
        <w:pStyle w:val="BodyText"/>
        <w:tabs>
          <w:tab w:val="left" w:pos="8869"/>
        </w:tabs>
        <w:spacing w:line="240" w:lineRule="auto"/>
        <w:rPr>
          <w:w w:val="105"/>
          <w:sz w:val="22"/>
          <w:szCs w:val="22"/>
        </w:rPr>
      </w:pPr>
    </w:p>
    <w:p w14:paraId="3DB5D618" w14:textId="7E57DA1A" w:rsidR="00832D9B" w:rsidRPr="008C1E28" w:rsidRDefault="003D5403" w:rsidP="00832D9B">
      <w:pPr>
        <w:pStyle w:val="Heading1"/>
        <w:tabs>
          <w:tab w:val="left" w:pos="938"/>
          <w:tab w:val="left" w:pos="939"/>
        </w:tabs>
        <w:ind w:left="709"/>
        <w:rPr>
          <w:b w:val="0"/>
          <w:bCs w:val="0"/>
          <w:sz w:val="22"/>
          <w:szCs w:val="22"/>
          <w:u w:val="single"/>
        </w:rPr>
      </w:pPr>
      <w:r w:rsidRPr="008C1E28">
        <w:rPr>
          <w:w w:val="105"/>
          <w:sz w:val="22"/>
          <w:szCs w:val="22"/>
        </w:rPr>
        <w:t>F0</w:t>
      </w:r>
      <w:r w:rsidR="00832D9B" w:rsidRPr="008C1E28">
        <w:rPr>
          <w:w w:val="105"/>
          <w:sz w:val="22"/>
          <w:szCs w:val="22"/>
        </w:rPr>
        <w:t>7</w:t>
      </w:r>
      <w:r w:rsidRPr="008C1E28">
        <w:rPr>
          <w:w w:val="105"/>
          <w:sz w:val="22"/>
          <w:szCs w:val="22"/>
        </w:rPr>
        <w:t>24/0</w:t>
      </w:r>
      <w:r w:rsidR="00A25ADA" w:rsidRPr="008C1E28">
        <w:rPr>
          <w:w w:val="105"/>
          <w:sz w:val="22"/>
          <w:szCs w:val="22"/>
        </w:rPr>
        <w:t>5</w:t>
      </w:r>
      <w:r w:rsidRPr="008C1E28">
        <w:rPr>
          <w:w w:val="105"/>
          <w:sz w:val="22"/>
          <w:szCs w:val="22"/>
        </w:rPr>
        <w:t xml:space="preserve"> Updates re Bank</w:t>
      </w:r>
      <w:r w:rsidRPr="008C1E28">
        <w:rPr>
          <w:spacing w:val="2"/>
          <w:w w:val="105"/>
          <w:sz w:val="22"/>
          <w:szCs w:val="22"/>
        </w:rPr>
        <w:t xml:space="preserve"> </w:t>
      </w:r>
      <w:r w:rsidRPr="008C1E28">
        <w:rPr>
          <w:w w:val="105"/>
          <w:sz w:val="22"/>
          <w:szCs w:val="22"/>
        </w:rPr>
        <w:t>Accounts</w:t>
      </w:r>
      <w:r w:rsidR="001C3DAA" w:rsidRPr="008C1E28">
        <w:rPr>
          <w:w w:val="105"/>
          <w:sz w:val="22"/>
          <w:szCs w:val="22"/>
        </w:rPr>
        <w:t xml:space="preserve"> – </w:t>
      </w:r>
      <w:r w:rsidR="001C3DAA" w:rsidRPr="008C1E28">
        <w:rPr>
          <w:b w:val="0"/>
          <w:bCs w:val="0"/>
          <w:w w:val="105"/>
          <w:sz w:val="22"/>
          <w:szCs w:val="22"/>
        </w:rPr>
        <w:t>Clerk gave an update on how the bank accounts stand</w:t>
      </w:r>
      <w:r w:rsidR="00832D9B" w:rsidRPr="008C1E28">
        <w:rPr>
          <w:b w:val="0"/>
          <w:bCs w:val="0"/>
          <w:w w:val="105"/>
          <w:sz w:val="22"/>
          <w:szCs w:val="22"/>
        </w:rPr>
        <w:t xml:space="preserve">. </w:t>
      </w:r>
      <w:r w:rsidR="00832D9B" w:rsidRPr="008C1E28">
        <w:rPr>
          <w:b w:val="0"/>
          <w:bCs w:val="0"/>
          <w:sz w:val="22"/>
          <w:szCs w:val="22"/>
        </w:rPr>
        <w:t>Summary of Hayfield Parish Council bank accounts:</w:t>
      </w:r>
    </w:p>
    <w:p w14:paraId="6E3FB34B" w14:textId="77777777" w:rsidR="00832D9B" w:rsidRPr="008C1E28" w:rsidRDefault="00832D9B" w:rsidP="00832D9B">
      <w:pPr>
        <w:rPr>
          <w:b/>
          <w:bCs/>
          <w:u w:val="single"/>
        </w:rPr>
      </w:pPr>
    </w:p>
    <w:p w14:paraId="1CCE341E" w14:textId="77777777" w:rsidR="00832D9B" w:rsidRPr="008C1E28" w:rsidRDefault="00832D9B" w:rsidP="00CB6F99">
      <w:pPr>
        <w:rPr>
          <w:b/>
          <w:bCs/>
          <w:u w:val="single"/>
        </w:rPr>
      </w:pPr>
      <w:r w:rsidRPr="008C1E28">
        <w:rPr>
          <w:b/>
          <w:bCs/>
          <w:u w:val="single"/>
        </w:rPr>
        <w:t>1</w:t>
      </w:r>
      <w:r w:rsidRPr="008C1E28">
        <w:rPr>
          <w:b/>
          <w:bCs/>
          <w:u w:val="single"/>
          <w:vertAlign w:val="superscript"/>
        </w:rPr>
        <w:t>st</w:t>
      </w:r>
      <w:r w:rsidRPr="008C1E28">
        <w:rPr>
          <w:b/>
          <w:bCs/>
          <w:u w:val="single"/>
        </w:rPr>
        <w:t xml:space="preserve"> June 2024 Opening Balances:</w:t>
      </w:r>
    </w:p>
    <w:p w14:paraId="2DB21DB8" w14:textId="77777777" w:rsidR="00832D9B" w:rsidRPr="008C1E28" w:rsidRDefault="00832D9B" w:rsidP="00CB6F99"/>
    <w:p w14:paraId="252AE5E0" w14:textId="77777777" w:rsidR="00832D9B" w:rsidRPr="008C1E28" w:rsidRDefault="00832D9B" w:rsidP="00CB6F99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color w:val="374151"/>
          <w:shd w:val="clear" w:color="auto" w:fill="F9FAFB"/>
        </w:rPr>
      </w:pPr>
      <w:r w:rsidRPr="008C1E28">
        <w:t>Unity Trust Current - £6,501.32</w:t>
      </w:r>
    </w:p>
    <w:p w14:paraId="79C18788" w14:textId="77777777" w:rsidR="00832D9B" w:rsidRPr="008C1E28" w:rsidRDefault="00832D9B" w:rsidP="00CB6F99">
      <w:pPr>
        <w:pStyle w:val="ListParagraph"/>
        <w:widowControl/>
        <w:numPr>
          <w:ilvl w:val="0"/>
          <w:numId w:val="8"/>
        </w:numPr>
        <w:autoSpaceDE/>
        <w:autoSpaceDN/>
        <w:contextualSpacing/>
      </w:pPr>
      <w:r w:rsidRPr="008C1E28">
        <w:rPr>
          <w:color w:val="374151"/>
          <w:shd w:val="clear" w:color="auto" w:fill="F9FAFB"/>
        </w:rPr>
        <w:t>Unity Trust Instant - £148,816.66</w:t>
      </w:r>
    </w:p>
    <w:p w14:paraId="10795F59" w14:textId="77777777" w:rsidR="00832D9B" w:rsidRPr="008C1E28" w:rsidRDefault="00832D9B" w:rsidP="00CB6F99"/>
    <w:p w14:paraId="1B4BA563" w14:textId="77777777" w:rsidR="00832D9B" w:rsidRPr="008C1E28" w:rsidRDefault="00832D9B" w:rsidP="00CB6F99">
      <w:pPr>
        <w:pStyle w:val="ListParagraph"/>
        <w:widowControl/>
        <w:numPr>
          <w:ilvl w:val="0"/>
          <w:numId w:val="5"/>
        </w:numPr>
        <w:autoSpaceDE/>
        <w:autoSpaceDN/>
        <w:contextualSpacing/>
      </w:pPr>
      <w:r w:rsidRPr="008C1E28">
        <w:t>June 2024 Receipts – £9,523.35</w:t>
      </w:r>
    </w:p>
    <w:p w14:paraId="40148874" w14:textId="77777777" w:rsidR="00832D9B" w:rsidRPr="008C1E28" w:rsidRDefault="00832D9B" w:rsidP="00CB6F99">
      <w:pPr>
        <w:pStyle w:val="ListParagraph"/>
        <w:widowControl/>
        <w:numPr>
          <w:ilvl w:val="0"/>
          <w:numId w:val="5"/>
        </w:numPr>
        <w:autoSpaceDE/>
        <w:autoSpaceDN/>
        <w:contextualSpacing/>
      </w:pPr>
      <w:r w:rsidRPr="008C1E28">
        <w:t>June 2024 Expenditure - £6,664.82</w:t>
      </w:r>
    </w:p>
    <w:p w14:paraId="6EC39A89" w14:textId="77777777" w:rsidR="00832D9B" w:rsidRPr="008C1E28" w:rsidRDefault="00832D9B" w:rsidP="00CB6F99">
      <w:pPr>
        <w:pStyle w:val="ListParagraph"/>
        <w:widowControl/>
        <w:numPr>
          <w:ilvl w:val="0"/>
          <w:numId w:val="5"/>
        </w:numPr>
        <w:autoSpaceDE/>
        <w:autoSpaceDN/>
        <w:contextualSpacing/>
      </w:pPr>
      <w:r w:rsidRPr="008C1E28">
        <w:t>June 2024 VAT paid - £339.17</w:t>
      </w:r>
    </w:p>
    <w:p w14:paraId="610C7626" w14:textId="77777777" w:rsidR="00832D9B" w:rsidRPr="008C1E28" w:rsidRDefault="00832D9B" w:rsidP="00CB6F99"/>
    <w:p w14:paraId="361D7DBA" w14:textId="77777777" w:rsidR="00832D9B" w:rsidRPr="008C1E28" w:rsidRDefault="00832D9B" w:rsidP="00CB6F99">
      <w:pPr>
        <w:rPr>
          <w:b/>
          <w:bCs/>
          <w:u w:val="single"/>
        </w:rPr>
      </w:pPr>
      <w:r w:rsidRPr="008C1E28">
        <w:rPr>
          <w:b/>
          <w:bCs/>
          <w:u w:val="single"/>
        </w:rPr>
        <w:t>Bank Balances on 30</w:t>
      </w:r>
      <w:r w:rsidRPr="008C1E28">
        <w:rPr>
          <w:b/>
          <w:bCs/>
          <w:u w:val="single"/>
          <w:vertAlign w:val="superscript"/>
        </w:rPr>
        <w:t>th</w:t>
      </w:r>
      <w:r w:rsidRPr="008C1E28">
        <w:rPr>
          <w:b/>
          <w:bCs/>
          <w:u w:val="single"/>
        </w:rPr>
        <w:t xml:space="preserve"> June 2024:</w:t>
      </w:r>
    </w:p>
    <w:p w14:paraId="246D0DF5" w14:textId="77777777" w:rsidR="00832D9B" w:rsidRPr="008C1E28" w:rsidRDefault="00832D9B" w:rsidP="00CB6F99"/>
    <w:p w14:paraId="2D1D149B" w14:textId="20DDBF12" w:rsidR="00CB6F99" w:rsidRPr="008C1E28" w:rsidRDefault="00832D9B" w:rsidP="00CB6F99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color w:val="374151"/>
        </w:rPr>
      </w:pPr>
      <w:r w:rsidRPr="008C1E28">
        <w:t>Unity Trust Current - £9,946.50</w:t>
      </w:r>
    </w:p>
    <w:p w14:paraId="0E5FF9B0" w14:textId="12A42DF5" w:rsidR="00832D9B" w:rsidRPr="008C1E28" w:rsidRDefault="00832D9B" w:rsidP="00CB6F99">
      <w:pPr>
        <w:pStyle w:val="ListParagraph"/>
        <w:widowControl/>
        <w:numPr>
          <w:ilvl w:val="0"/>
          <w:numId w:val="6"/>
        </w:numPr>
        <w:autoSpaceDE/>
        <w:autoSpaceDN/>
        <w:contextualSpacing/>
      </w:pPr>
      <w:r w:rsidRPr="008C1E28">
        <w:t>Unity Trust Instant – £148,230.01</w:t>
      </w:r>
    </w:p>
    <w:p w14:paraId="7CEF203F" w14:textId="5C03D398" w:rsidR="001C3DAA" w:rsidRPr="008C1E28" w:rsidRDefault="00832D9B" w:rsidP="00CB6F99">
      <w:pPr>
        <w:ind w:left="360"/>
        <w:rPr>
          <w:b/>
          <w:bCs/>
        </w:rPr>
      </w:pPr>
      <w:r w:rsidRPr="008C1E28">
        <w:rPr>
          <w:b/>
          <w:bCs/>
        </w:rPr>
        <w:t>Total on 30</w:t>
      </w:r>
      <w:r w:rsidRPr="008C1E28">
        <w:rPr>
          <w:b/>
          <w:bCs/>
          <w:vertAlign w:val="superscript"/>
        </w:rPr>
        <w:t>th</w:t>
      </w:r>
      <w:r w:rsidRPr="008C1E28">
        <w:rPr>
          <w:b/>
          <w:bCs/>
        </w:rPr>
        <w:t xml:space="preserve"> June 2024 - £158,176.51</w:t>
      </w:r>
    </w:p>
    <w:p w14:paraId="16545AE2" w14:textId="77777777" w:rsidR="003D5403" w:rsidRPr="008C1E28" w:rsidRDefault="003D5403" w:rsidP="001C3DAA">
      <w:pPr>
        <w:tabs>
          <w:tab w:val="left" w:pos="938"/>
          <w:tab w:val="left" w:pos="939"/>
        </w:tabs>
        <w:ind w:right="353"/>
        <w:rPr>
          <w:w w:val="105"/>
        </w:rPr>
      </w:pPr>
    </w:p>
    <w:p w14:paraId="13F97DA8" w14:textId="752877A2" w:rsidR="003D5403" w:rsidRPr="008C1E28" w:rsidRDefault="003D5403" w:rsidP="001C3DAA">
      <w:pPr>
        <w:tabs>
          <w:tab w:val="left" w:pos="938"/>
          <w:tab w:val="left" w:pos="939"/>
        </w:tabs>
        <w:ind w:right="353"/>
        <w:rPr>
          <w:w w:val="105"/>
        </w:rPr>
      </w:pPr>
      <w:r w:rsidRPr="008C1E28">
        <w:rPr>
          <w:b/>
          <w:bCs/>
          <w:w w:val="105"/>
        </w:rPr>
        <w:t>F0</w:t>
      </w:r>
      <w:r w:rsidR="00832D9B" w:rsidRPr="008C1E28">
        <w:rPr>
          <w:b/>
          <w:bCs/>
          <w:w w:val="105"/>
        </w:rPr>
        <w:t>7</w:t>
      </w:r>
      <w:r w:rsidRPr="008C1E28">
        <w:rPr>
          <w:b/>
          <w:bCs/>
          <w:w w:val="105"/>
        </w:rPr>
        <w:t>24/0</w:t>
      </w:r>
      <w:r w:rsidR="00A25ADA" w:rsidRPr="008C1E28">
        <w:rPr>
          <w:b/>
          <w:bCs/>
          <w:w w:val="105"/>
        </w:rPr>
        <w:t>6</w:t>
      </w:r>
      <w:r w:rsidRPr="008C1E28">
        <w:rPr>
          <w:w w:val="105"/>
        </w:rPr>
        <w:t xml:space="preserve"> </w:t>
      </w:r>
      <w:r w:rsidRPr="008C1E28">
        <w:rPr>
          <w:b/>
          <w:w w:val="105"/>
        </w:rPr>
        <w:t>Financial</w:t>
      </w:r>
      <w:r w:rsidRPr="008C1E28">
        <w:rPr>
          <w:b/>
          <w:spacing w:val="-5"/>
          <w:w w:val="105"/>
        </w:rPr>
        <w:t xml:space="preserve"> </w:t>
      </w:r>
      <w:r w:rsidRPr="008C1E28">
        <w:rPr>
          <w:b/>
          <w:w w:val="105"/>
        </w:rPr>
        <w:t xml:space="preserve">Reports </w:t>
      </w:r>
      <w:r w:rsidR="001C3DAA" w:rsidRPr="008C1E28">
        <w:rPr>
          <w:b/>
          <w:w w:val="105"/>
        </w:rPr>
        <w:t>–</w:t>
      </w:r>
      <w:r w:rsidRPr="008C1E28">
        <w:rPr>
          <w:b/>
          <w:spacing w:val="-4"/>
          <w:w w:val="105"/>
        </w:rPr>
        <w:t xml:space="preserve"> </w:t>
      </w:r>
      <w:r w:rsidRPr="008C1E28">
        <w:rPr>
          <w:w w:val="105"/>
        </w:rPr>
        <w:t>T</w:t>
      </w:r>
      <w:r w:rsidR="001C3DAA" w:rsidRPr="008C1E28">
        <w:rPr>
          <w:w w:val="105"/>
        </w:rPr>
        <w:t>he Financial Report was presented to the council for</w:t>
      </w:r>
      <w:r w:rsidRPr="008C1E28">
        <w:rPr>
          <w:spacing w:val="-4"/>
          <w:w w:val="105"/>
        </w:rPr>
        <w:t xml:space="preserve"> </w:t>
      </w:r>
      <w:r w:rsidR="00832D9B" w:rsidRPr="008C1E28">
        <w:rPr>
          <w:spacing w:val="-4"/>
          <w:w w:val="105"/>
        </w:rPr>
        <w:t>June</w:t>
      </w:r>
      <w:r w:rsidRPr="008C1E28">
        <w:rPr>
          <w:spacing w:val="-4"/>
          <w:w w:val="105"/>
        </w:rPr>
        <w:t xml:space="preserve"> </w:t>
      </w:r>
      <w:r w:rsidRPr="008C1E28">
        <w:rPr>
          <w:w w:val="105"/>
        </w:rPr>
        <w:t>2024</w:t>
      </w:r>
      <w:r w:rsidRPr="008C1E28">
        <w:rPr>
          <w:spacing w:val="-3"/>
          <w:w w:val="105"/>
        </w:rPr>
        <w:t xml:space="preserve"> </w:t>
      </w:r>
      <w:r w:rsidRPr="008C1E28">
        <w:rPr>
          <w:w w:val="105"/>
        </w:rPr>
        <w:t>covering</w:t>
      </w:r>
      <w:r w:rsidRPr="008C1E28">
        <w:rPr>
          <w:spacing w:val="-3"/>
          <w:w w:val="105"/>
        </w:rPr>
        <w:t xml:space="preserve"> </w:t>
      </w:r>
      <w:r w:rsidRPr="008C1E28">
        <w:rPr>
          <w:w w:val="105"/>
        </w:rPr>
        <w:t>the</w:t>
      </w:r>
      <w:r w:rsidRPr="008C1E28">
        <w:rPr>
          <w:spacing w:val="-3"/>
          <w:w w:val="105"/>
        </w:rPr>
        <w:t xml:space="preserve"> </w:t>
      </w:r>
      <w:r w:rsidRPr="008C1E28">
        <w:rPr>
          <w:w w:val="105"/>
        </w:rPr>
        <w:t>period</w:t>
      </w:r>
      <w:r w:rsidRPr="008C1E28">
        <w:rPr>
          <w:spacing w:val="-3"/>
          <w:w w:val="105"/>
        </w:rPr>
        <w:t xml:space="preserve"> </w:t>
      </w:r>
      <w:r w:rsidRPr="008C1E28">
        <w:rPr>
          <w:w w:val="105"/>
        </w:rPr>
        <w:t>1</w:t>
      </w:r>
      <w:r w:rsidRPr="008C1E28">
        <w:rPr>
          <w:w w:val="105"/>
          <w:vertAlign w:val="superscript"/>
        </w:rPr>
        <w:t>st</w:t>
      </w:r>
      <w:r w:rsidRPr="008C1E28">
        <w:rPr>
          <w:spacing w:val="-5"/>
          <w:w w:val="105"/>
        </w:rPr>
        <w:t xml:space="preserve"> </w:t>
      </w:r>
      <w:r w:rsidRPr="008C1E28">
        <w:rPr>
          <w:w w:val="105"/>
        </w:rPr>
        <w:t>to 3</w:t>
      </w:r>
      <w:r w:rsidR="00832D9B" w:rsidRPr="008C1E28">
        <w:rPr>
          <w:w w:val="105"/>
        </w:rPr>
        <w:t>0</w:t>
      </w:r>
      <w:r w:rsidR="00832D9B" w:rsidRPr="008C1E28">
        <w:rPr>
          <w:w w:val="105"/>
          <w:vertAlign w:val="superscript"/>
        </w:rPr>
        <w:t>th</w:t>
      </w:r>
      <w:r w:rsidR="00832D9B" w:rsidRPr="008C1E28">
        <w:rPr>
          <w:w w:val="105"/>
        </w:rPr>
        <w:t xml:space="preserve"> June</w:t>
      </w:r>
      <w:r w:rsidRPr="008C1E28">
        <w:rPr>
          <w:w w:val="105"/>
        </w:rPr>
        <w:t xml:space="preserve"> 2024.</w:t>
      </w:r>
    </w:p>
    <w:p w14:paraId="0955EAA8" w14:textId="77777777" w:rsidR="00832D9B" w:rsidRPr="008C1E28" w:rsidRDefault="00832D9B" w:rsidP="001C3DAA">
      <w:pPr>
        <w:tabs>
          <w:tab w:val="left" w:pos="938"/>
          <w:tab w:val="left" w:pos="939"/>
        </w:tabs>
        <w:ind w:right="353"/>
        <w:rPr>
          <w:w w:val="105"/>
        </w:rPr>
      </w:pPr>
    </w:p>
    <w:p w14:paraId="6E25D4BC" w14:textId="13D5B2EC" w:rsidR="00832D9B" w:rsidRPr="008C1E28" w:rsidRDefault="00832D9B" w:rsidP="00CB6F99">
      <w:pPr>
        <w:tabs>
          <w:tab w:val="left" w:pos="938"/>
          <w:tab w:val="left" w:pos="939"/>
        </w:tabs>
        <w:spacing w:before="9"/>
        <w:ind w:right="353"/>
        <w:jc w:val="both"/>
      </w:pPr>
      <w:r w:rsidRPr="008C1E28">
        <w:rPr>
          <w:b/>
          <w:bCs/>
          <w:w w:val="105"/>
        </w:rPr>
        <w:t xml:space="preserve">F0724/07 </w:t>
      </w:r>
      <w:r w:rsidRPr="008C1E28">
        <w:rPr>
          <w:b/>
          <w:bCs/>
        </w:rPr>
        <w:t xml:space="preserve">To Review the First Quarter Budget Spend Predictor – </w:t>
      </w:r>
      <w:r w:rsidRPr="008C1E28">
        <w:t xml:space="preserve">The First Quarter Budget Spend Predictor was presented and reviewed at the meeting. Clerk to look into areas of </w:t>
      </w:r>
      <w:r w:rsidR="00CB6F99" w:rsidRPr="008C1E28">
        <w:t xml:space="preserve">the budget which predict an </w:t>
      </w:r>
      <w:proofErr w:type="gramStart"/>
      <w:r w:rsidR="00CB6F99" w:rsidRPr="008C1E28">
        <w:t>over spend</w:t>
      </w:r>
      <w:proofErr w:type="gramEnd"/>
      <w:r w:rsidR="00CB6F99" w:rsidRPr="008C1E28">
        <w:t xml:space="preserve"> by the year end, to investigate other possible solutions.</w:t>
      </w:r>
    </w:p>
    <w:p w14:paraId="50B0BABB" w14:textId="655653FF" w:rsidR="003D5403" w:rsidRPr="008C1E28" w:rsidRDefault="003D5403" w:rsidP="001C3DAA">
      <w:pPr>
        <w:pStyle w:val="BodyText"/>
        <w:tabs>
          <w:tab w:val="left" w:pos="8869"/>
        </w:tabs>
        <w:spacing w:line="240" w:lineRule="auto"/>
        <w:rPr>
          <w:b/>
          <w:bCs/>
          <w:w w:val="105"/>
          <w:sz w:val="22"/>
          <w:szCs w:val="22"/>
        </w:rPr>
      </w:pPr>
    </w:p>
    <w:p w14:paraId="40F06720" w14:textId="1C99FE52" w:rsidR="003D5403" w:rsidRPr="008C1E28" w:rsidRDefault="003D5403" w:rsidP="001C3DAA">
      <w:pPr>
        <w:pStyle w:val="BodyText"/>
        <w:tabs>
          <w:tab w:val="left" w:pos="8869"/>
        </w:tabs>
        <w:spacing w:line="240" w:lineRule="auto"/>
        <w:rPr>
          <w:w w:val="105"/>
          <w:sz w:val="22"/>
          <w:szCs w:val="22"/>
        </w:rPr>
      </w:pPr>
      <w:r w:rsidRPr="008C1E28">
        <w:rPr>
          <w:b/>
          <w:bCs/>
          <w:w w:val="105"/>
          <w:sz w:val="22"/>
          <w:szCs w:val="22"/>
        </w:rPr>
        <w:t>F0</w:t>
      </w:r>
      <w:r w:rsidR="00CB6F99" w:rsidRPr="008C1E28">
        <w:rPr>
          <w:b/>
          <w:bCs/>
          <w:w w:val="105"/>
          <w:sz w:val="22"/>
          <w:szCs w:val="22"/>
        </w:rPr>
        <w:t>7</w:t>
      </w:r>
      <w:r w:rsidRPr="008C1E28">
        <w:rPr>
          <w:b/>
          <w:bCs/>
          <w:w w:val="105"/>
          <w:sz w:val="22"/>
          <w:szCs w:val="22"/>
        </w:rPr>
        <w:t>24/0</w:t>
      </w:r>
      <w:r w:rsidR="001C3DAA" w:rsidRPr="008C1E28">
        <w:rPr>
          <w:b/>
          <w:bCs/>
          <w:w w:val="105"/>
          <w:sz w:val="22"/>
          <w:szCs w:val="22"/>
        </w:rPr>
        <w:t>8</w:t>
      </w:r>
      <w:r w:rsidRPr="008C1E28">
        <w:rPr>
          <w:w w:val="105"/>
          <w:sz w:val="22"/>
          <w:szCs w:val="22"/>
        </w:rPr>
        <w:t xml:space="preserve"> </w:t>
      </w:r>
      <w:r w:rsidRPr="008C1E28">
        <w:rPr>
          <w:b/>
          <w:w w:val="105"/>
          <w:sz w:val="22"/>
          <w:szCs w:val="22"/>
        </w:rPr>
        <w:t xml:space="preserve">Accounts for payment </w:t>
      </w:r>
      <w:r w:rsidRPr="008C1E28">
        <w:rPr>
          <w:bCs/>
          <w:w w:val="105"/>
          <w:sz w:val="22"/>
          <w:szCs w:val="22"/>
        </w:rPr>
        <w:t>–</w:t>
      </w:r>
      <w:r w:rsidRPr="008C1E28">
        <w:rPr>
          <w:b/>
          <w:w w:val="105"/>
          <w:sz w:val="22"/>
          <w:szCs w:val="22"/>
        </w:rPr>
        <w:t xml:space="preserve"> </w:t>
      </w:r>
      <w:r w:rsidRPr="008C1E28">
        <w:rPr>
          <w:w w:val="105"/>
          <w:sz w:val="22"/>
          <w:szCs w:val="22"/>
        </w:rPr>
        <w:t>All payments of the accounts below were authorised.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1270"/>
        <w:gridCol w:w="2110"/>
        <w:gridCol w:w="2407"/>
        <w:gridCol w:w="1211"/>
        <w:gridCol w:w="828"/>
        <w:gridCol w:w="1133"/>
        <w:gridCol w:w="1841"/>
      </w:tblGrid>
      <w:tr w:rsidR="00CB6F99" w:rsidRPr="008C1E28" w14:paraId="314A5A8A" w14:textId="77777777" w:rsidTr="00354478">
        <w:trPr>
          <w:trHeight w:val="44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86A0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Ref.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7AC5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Payee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BED1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Description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3D4D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Net cost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A9F6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VAT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06ED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Total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93A8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Provenance Authority</w:t>
            </w:r>
          </w:p>
        </w:tc>
      </w:tr>
      <w:tr w:rsidR="00CB6F99" w:rsidRPr="008C1E28" w14:paraId="60784DB3" w14:textId="77777777" w:rsidTr="00354478">
        <w:trPr>
          <w:trHeight w:val="372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370E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BACS1572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BC2D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Payroll One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C4A5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Wage 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AD8E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£1,326.53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0297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4B2D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£1,326.53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BB9D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color w:val="000000"/>
                <w:sz w:val="18"/>
                <w:szCs w:val="18"/>
              </w:rPr>
              <w:t>Contractual</w:t>
            </w:r>
          </w:p>
        </w:tc>
      </w:tr>
      <w:tr w:rsidR="00CB6F99" w:rsidRPr="008C1E28" w14:paraId="325649F2" w14:textId="77777777" w:rsidTr="00354478">
        <w:trPr>
          <w:trHeight w:val="406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B9CD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BACS1573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A4EB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Payroll Two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B519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Wage 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55DF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£540.00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4B65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0D14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£540.00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7243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color w:val="000000"/>
                <w:sz w:val="18"/>
                <w:szCs w:val="18"/>
              </w:rPr>
              <w:t>Contractual</w:t>
            </w:r>
          </w:p>
        </w:tc>
      </w:tr>
      <w:tr w:rsidR="00CB6F99" w:rsidRPr="008C1E28" w14:paraId="4B167376" w14:textId="77777777" w:rsidTr="00354478">
        <w:trPr>
          <w:trHeight w:val="271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A3B1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BACS1574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862A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HMRC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FF0A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PAYE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1BF2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£252.80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C950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D6F6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£252.80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4721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color w:val="000000"/>
                <w:sz w:val="18"/>
                <w:szCs w:val="18"/>
              </w:rPr>
              <w:t>Legal</w:t>
            </w:r>
          </w:p>
        </w:tc>
      </w:tr>
      <w:tr w:rsidR="00CB6F99" w:rsidRPr="008C1E28" w14:paraId="00D13E9A" w14:textId="77777777" w:rsidTr="00354478">
        <w:trPr>
          <w:trHeight w:val="276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51BC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BACS1575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57F0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WildAboutGardens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6656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Gardening Services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A40C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£1,141.00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19AE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0054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£1,141.00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615E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color w:val="000000"/>
                <w:sz w:val="18"/>
                <w:szCs w:val="18"/>
              </w:rPr>
              <w:t>Contractual</w:t>
            </w:r>
          </w:p>
        </w:tc>
      </w:tr>
      <w:tr w:rsidR="00CB6F99" w:rsidRPr="008C1E28" w14:paraId="214DB99F" w14:textId="77777777" w:rsidTr="00354478">
        <w:trPr>
          <w:trHeight w:val="449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3930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lastRenderedPageBreak/>
              <w:t>BACS1576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DCD4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Carham Gardening Services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6FBB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Gardening Services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340B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£1,054.50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8567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A07A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£1,054.50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3CEA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color w:val="000000"/>
                <w:sz w:val="18"/>
                <w:szCs w:val="18"/>
              </w:rPr>
              <w:t>Contractual</w:t>
            </w:r>
          </w:p>
        </w:tc>
      </w:tr>
      <w:tr w:rsidR="00CB6F99" w:rsidRPr="008C1E28" w14:paraId="56B0E8C9" w14:textId="77777777" w:rsidTr="00354478">
        <w:trPr>
          <w:trHeight w:val="242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CFB8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BACS1577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A034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HRMason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ED58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Office Mobile Phone Contract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0596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£7.20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2350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£1.16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630B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£8.63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D7291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color w:val="000000"/>
                <w:sz w:val="18"/>
                <w:szCs w:val="18"/>
              </w:rPr>
              <w:t>Contractual</w:t>
            </w:r>
          </w:p>
        </w:tc>
      </w:tr>
      <w:tr w:rsidR="00CB6F99" w:rsidRPr="008C1E28" w14:paraId="28C1E439" w14:textId="77777777" w:rsidTr="00354478">
        <w:trPr>
          <w:trHeight w:val="449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4521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BACS1578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E239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AEM Barker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7961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Audit Consultation &amp; Advice Services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3B75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£350.00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BA58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7657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£350.00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E688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color w:val="000000"/>
                <w:sz w:val="18"/>
                <w:szCs w:val="18"/>
              </w:rPr>
              <w:t xml:space="preserve"> Minute </w:t>
            </w:r>
            <w:r w:rsidRPr="008C1E28">
              <w:rPr>
                <w:sz w:val="18"/>
                <w:szCs w:val="18"/>
              </w:rPr>
              <w:t>0424/14</w:t>
            </w:r>
          </w:p>
        </w:tc>
      </w:tr>
      <w:tr w:rsidR="00CB6F99" w:rsidRPr="008C1E28" w14:paraId="37515130" w14:textId="77777777" w:rsidTr="00354478">
        <w:trPr>
          <w:trHeight w:val="27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1914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BACS1579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DAD9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EDF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94B7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Electricity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212C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 w:eastAsia="en-GB"/>
              </w:rPr>
            </w:pPr>
            <w:r w:rsidRPr="008C1E28">
              <w:rPr>
                <w:color w:val="000000"/>
                <w:sz w:val="18"/>
                <w:szCs w:val="18"/>
              </w:rPr>
              <w:t xml:space="preserve">£88.07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7605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 w:eastAsia="en-GB"/>
              </w:rPr>
            </w:pPr>
            <w:r w:rsidRPr="008C1E28">
              <w:rPr>
                <w:color w:val="000000"/>
                <w:sz w:val="18"/>
                <w:szCs w:val="18"/>
              </w:rPr>
              <w:t xml:space="preserve">£4.40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59E9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 w:eastAsia="en-GB"/>
              </w:rPr>
            </w:pPr>
            <w:r w:rsidRPr="008C1E28">
              <w:rPr>
                <w:color w:val="000000"/>
                <w:sz w:val="18"/>
                <w:szCs w:val="18"/>
              </w:rPr>
              <w:t xml:space="preserve">£92.47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00D0C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color w:val="000000"/>
                <w:sz w:val="18"/>
                <w:szCs w:val="18"/>
              </w:rPr>
              <w:t>Contractual</w:t>
            </w:r>
          </w:p>
        </w:tc>
      </w:tr>
      <w:tr w:rsidR="00CB6F99" w:rsidRPr="008C1E28" w14:paraId="48B03932" w14:textId="77777777" w:rsidTr="00354478">
        <w:trPr>
          <w:trHeight w:val="278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7162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BACS1580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995D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C.Wrigley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59AD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Barrier Tape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3A54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£8.21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ABB8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£1.64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676A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£9.85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D48D6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color w:val="000000"/>
                <w:sz w:val="18"/>
                <w:szCs w:val="18"/>
              </w:rPr>
              <w:t>Finance Regulations</w:t>
            </w:r>
          </w:p>
        </w:tc>
      </w:tr>
      <w:tr w:rsidR="00CB6F99" w:rsidRPr="008C1E28" w14:paraId="20541891" w14:textId="77777777" w:rsidTr="00354478">
        <w:trPr>
          <w:trHeight w:val="269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0BF5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BACS1581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72D9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C.Wrigley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B530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Work Safety Boots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E1C9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£93.50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8C5A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123D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£93.50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E9B2D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color w:val="000000"/>
                <w:sz w:val="18"/>
                <w:szCs w:val="18"/>
              </w:rPr>
              <w:t>Finance Regulations</w:t>
            </w:r>
          </w:p>
        </w:tc>
      </w:tr>
      <w:tr w:rsidR="00CB6F99" w:rsidRPr="008C1E28" w14:paraId="11736799" w14:textId="77777777" w:rsidTr="00354478">
        <w:trPr>
          <w:trHeight w:val="272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3908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BACS1582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D73F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Hazel Accountancy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88F2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Accountancy Services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6588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£42.00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0666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316D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£42.00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9E92E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color w:val="000000"/>
                <w:sz w:val="18"/>
                <w:szCs w:val="18"/>
              </w:rPr>
              <w:t>Contractual</w:t>
            </w:r>
          </w:p>
        </w:tc>
      </w:tr>
      <w:tr w:rsidR="00CB6F99" w:rsidRPr="008C1E28" w14:paraId="163BB10E" w14:textId="77777777" w:rsidTr="00354478">
        <w:trPr>
          <w:trHeight w:val="449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22EA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BACS1583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25AE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G Turner Accountancy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404E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Internal Audit Services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BDBD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£200.00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C77C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D95B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£200.00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E54E6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color w:val="000000"/>
                <w:sz w:val="18"/>
                <w:szCs w:val="18"/>
              </w:rPr>
              <w:t>Legal</w:t>
            </w:r>
          </w:p>
        </w:tc>
      </w:tr>
      <w:tr w:rsidR="00CB6F99" w:rsidRPr="008C1E28" w14:paraId="28D6D500" w14:textId="77777777" w:rsidTr="00354478">
        <w:trPr>
          <w:trHeight w:val="449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3417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BACS1584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0D34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Online Playgrounds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5C3B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Basketball Chain Net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2332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£33.00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EDE2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£6.60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E433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£39.60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03DFC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color w:val="000000"/>
                <w:sz w:val="18"/>
                <w:szCs w:val="18"/>
              </w:rPr>
              <w:t>Finance Regulations</w:t>
            </w:r>
          </w:p>
        </w:tc>
      </w:tr>
      <w:tr w:rsidR="00CB6F99" w:rsidRPr="008C1E28" w14:paraId="58AF1B43" w14:textId="77777777" w:rsidTr="00354478">
        <w:trPr>
          <w:trHeight w:val="602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1C6B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BACS1585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1048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Naughty Dog Creative Framing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8B13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Pro-Loco Art Competition Framing of Winning Piece.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277A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£65.00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496B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3608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£65.00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7B888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color w:val="000000"/>
                <w:sz w:val="18"/>
                <w:szCs w:val="18"/>
              </w:rPr>
              <w:t>Finance Regulations</w:t>
            </w:r>
          </w:p>
        </w:tc>
      </w:tr>
      <w:tr w:rsidR="00CB6F99" w:rsidRPr="008C1E28" w14:paraId="6D1E1369" w14:textId="77777777" w:rsidTr="00354478">
        <w:trPr>
          <w:trHeight w:val="449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BBB8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BACS1586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6EA3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Community </w:t>
            </w:r>
            <w:proofErr w:type="gramStart"/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Heart Beat</w:t>
            </w:r>
            <w:proofErr w:type="gramEnd"/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5988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Annual Support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629E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£135.00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0151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£27.00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69ED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£162.00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A7959" w14:textId="77777777" w:rsidR="00CB6F99" w:rsidRPr="008C1E28" w:rsidRDefault="00CB6F99" w:rsidP="003544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color w:val="000000"/>
                <w:sz w:val="18"/>
                <w:szCs w:val="18"/>
              </w:rPr>
              <w:t>Subscription</w:t>
            </w:r>
          </w:p>
        </w:tc>
      </w:tr>
    </w:tbl>
    <w:p w14:paraId="5E111DA7" w14:textId="2ED64461" w:rsidR="00C95689" w:rsidRPr="008C1E28" w:rsidRDefault="00C95689" w:rsidP="00A31F74">
      <w:pPr>
        <w:spacing w:line="360" w:lineRule="auto"/>
        <w:jc w:val="center"/>
        <w:rPr>
          <w:color w:val="2E74B5"/>
          <w:sz w:val="13"/>
          <w:szCs w:val="13"/>
        </w:rPr>
      </w:pPr>
      <w:r w:rsidRPr="008C1E28">
        <w:rPr>
          <w:b/>
          <w:bCs/>
          <w:sz w:val="13"/>
          <w:szCs w:val="13"/>
        </w:rPr>
        <w:t xml:space="preserve">Provenance/Justification – ‘Contractual = existing contract legally obliged to pay, ‘Legal’ = Statutory requirement </w:t>
      </w:r>
      <w:r w:rsidR="00A64A78" w:rsidRPr="008C1E28">
        <w:rPr>
          <w:b/>
          <w:bCs/>
          <w:sz w:val="13"/>
          <w:szCs w:val="13"/>
        </w:rPr>
        <w:t>e.g.,</w:t>
      </w:r>
      <w:r w:rsidRPr="008C1E28">
        <w:rPr>
          <w:b/>
          <w:bCs/>
          <w:sz w:val="13"/>
          <w:szCs w:val="13"/>
        </w:rPr>
        <w:t xml:space="preserve"> payment of taxes, ‘Finance Regs’ = the activity is in the budget and payment can be authorised by the Clerk and/or the Chair under the Parish Councils Financial Regulations, where there is a specific minuted decision then that will be displayed.</w:t>
      </w:r>
    </w:p>
    <w:p w14:paraId="7C6B5EB2" w14:textId="506C5645" w:rsidR="001C3DAA" w:rsidRPr="008C1E28" w:rsidRDefault="003D5403" w:rsidP="001C3DAA">
      <w:pPr>
        <w:pStyle w:val="BodyText"/>
        <w:tabs>
          <w:tab w:val="left" w:pos="8869"/>
        </w:tabs>
        <w:spacing w:before="185" w:line="240" w:lineRule="auto"/>
        <w:rPr>
          <w:w w:val="105"/>
          <w:sz w:val="22"/>
          <w:szCs w:val="22"/>
        </w:rPr>
      </w:pPr>
      <w:r w:rsidRPr="008C1E28">
        <w:rPr>
          <w:b/>
          <w:bCs/>
          <w:w w:val="105"/>
          <w:sz w:val="22"/>
          <w:szCs w:val="22"/>
        </w:rPr>
        <w:t>F0</w:t>
      </w:r>
      <w:r w:rsidR="00CB6F99" w:rsidRPr="008C1E28">
        <w:rPr>
          <w:b/>
          <w:bCs/>
          <w:w w:val="105"/>
          <w:sz w:val="22"/>
          <w:szCs w:val="22"/>
        </w:rPr>
        <w:t>7</w:t>
      </w:r>
      <w:r w:rsidRPr="008C1E28">
        <w:rPr>
          <w:b/>
          <w:bCs/>
          <w:w w:val="105"/>
          <w:sz w:val="22"/>
          <w:szCs w:val="22"/>
        </w:rPr>
        <w:t>24/0</w:t>
      </w:r>
      <w:r w:rsidR="00FA3271" w:rsidRPr="008C1E28">
        <w:rPr>
          <w:b/>
          <w:bCs/>
          <w:w w:val="105"/>
          <w:sz w:val="22"/>
          <w:szCs w:val="22"/>
        </w:rPr>
        <w:t>9</w:t>
      </w:r>
      <w:r w:rsidRPr="008C1E28">
        <w:rPr>
          <w:b/>
          <w:bCs/>
          <w:w w:val="105"/>
          <w:sz w:val="22"/>
          <w:szCs w:val="22"/>
        </w:rPr>
        <w:t xml:space="preserve"> </w:t>
      </w:r>
      <w:r w:rsidR="00402761" w:rsidRPr="008C1E28">
        <w:rPr>
          <w:b/>
          <w:bCs/>
          <w:w w:val="105"/>
          <w:sz w:val="22"/>
          <w:szCs w:val="22"/>
        </w:rPr>
        <w:t>Short-notice expenditure</w:t>
      </w:r>
      <w:r w:rsidR="00402761" w:rsidRPr="008C1E28">
        <w:rPr>
          <w:b/>
          <w:w w:val="105"/>
          <w:sz w:val="22"/>
          <w:szCs w:val="22"/>
        </w:rPr>
        <w:t xml:space="preserve"> </w:t>
      </w:r>
      <w:r w:rsidR="00A31F74" w:rsidRPr="008C1E28">
        <w:rPr>
          <w:w w:val="105"/>
          <w:sz w:val="22"/>
          <w:szCs w:val="22"/>
        </w:rPr>
        <w:t>–</w:t>
      </w:r>
      <w:r w:rsidR="0019231F" w:rsidRPr="008C1E28">
        <w:rPr>
          <w:w w:val="105"/>
          <w:sz w:val="22"/>
          <w:szCs w:val="22"/>
        </w:rPr>
        <w:t xml:space="preserve"> </w:t>
      </w:r>
      <w:r w:rsidR="00CB6F99" w:rsidRPr="008C1E28">
        <w:rPr>
          <w:w w:val="105"/>
          <w:sz w:val="22"/>
          <w:szCs w:val="22"/>
        </w:rPr>
        <w:t>All short-notice payment on the accounts below were authorised.</w:t>
      </w:r>
    </w:p>
    <w:tbl>
      <w:tblPr>
        <w:tblStyle w:val="TableGrid"/>
        <w:tblW w:w="11069" w:type="dxa"/>
        <w:tblInd w:w="-5" w:type="dxa"/>
        <w:tblLook w:val="04A0" w:firstRow="1" w:lastRow="0" w:firstColumn="1" w:lastColumn="0" w:noHBand="0" w:noVBand="1"/>
      </w:tblPr>
      <w:tblGrid>
        <w:gridCol w:w="1334"/>
        <w:gridCol w:w="1583"/>
        <w:gridCol w:w="2594"/>
        <w:gridCol w:w="1159"/>
        <w:gridCol w:w="1047"/>
        <w:gridCol w:w="1159"/>
        <w:gridCol w:w="2193"/>
      </w:tblGrid>
      <w:tr w:rsidR="00CB6F99" w:rsidRPr="008C1E28" w14:paraId="38A0560B" w14:textId="77777777" w:rsidTr="00354478">
        <w:trPr>
          <w:trHeight w:val="494"/>
        </w:trPr>
        <w:tc>
          <w:tcPr>
            <w:tcW w:w="1334" w:type="dxa"/>
            <w:vAlign w:val="center"/>
          </w:tcPr>
          <w:p w14:paraId="6512AB1C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Ref.</w:t>
            </w:r>
          </w:p>
        </w:tc>
        <w:tc>
          <w:tcPr>
            <w:tcW w:w="1583" w:type="dxa"/>
            <w:vAlign w:val="center"/>
          </w:tcPr>
          <w:p w14:paraId="183B2B3D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Payee</w:t>
            </w:r>
          </w:p>
        </w:tc>
        <w:tc>
          <w:tcPr>
            <w:tcW w:w="2594" w:type="dxa"/>
            <w:vAlign w:val="center"/>
          </w:tcPr>
          <w:p w14:paraId="30F68360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Description</w:t>
            </w:r>
          </w:p>
        </w:tc>
        <w:tc>
          <w:tcPr>
            <w:tcW w:w="1159" w:type="dxa"/>
            <w:vAlign w:val="center"/>
          </w:tcPr>
          <w:p w14:paraId="7C1AC6E6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Net cost</w:t>
            </w:r>
          </w:p>
        </w:tc>
        <w:tc>
          <w:tcPr>
            <w:tcW w:w="1047" w:type="dxa"/>
            <w:vAlign w:val="center"/>
          </w:tcPr>
          <w:p w14:paraId="2A4D5B45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VAT</w:t>
            </w:r>
          </w:p>
        </w:tc>
        <w:tc>
          <w:tcPr>
            <w:tcW w:w="1159" w:type="dxa"/>
            <w:vAlign w:val="center"/>
          </w:tcPr>
          <w:p w14:paraId="74B32753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Total</w:t>
            </w:r>
          </w:p>
        </w:tc>
        <w:tc>
          <w:tcPr>
            <w:tcW w:w="2193" w:type="dxa"/>
            <w:vAlign w:val="center"/>
          </w:tcPr>
          <w:p w14:paraId="17F8A360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Provenance Authority</w:t>
            </w:r>
          </w:p>
        </w:tc>
      </w:tr>
      <w:tr w:rsidR="00CB6F99" w:rsidRPr="008C1E28" w14:paraId="68E7BD7A" w14:textId="77777777" w:rsidTr="00354478">
        <w:trPr>
          <w:trHeight w:val="274"/>
        </w:trPr>
        <w:tc>
          <w:tcPr>
            <w:tcW w:w="1334" w:type="dxa"/>
          </w:tcPr>
          <w:p w14:paraId="7A11B85D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sz w:val="18"/>
                <w:szCs w:val="18"/>
              </w:rPr>
              <w:t>BACS1587</w:t>
            </w:r>
          </w:p>
        </w:tc>
        <w:tc>
          <w:tcPr>
            <w:tcW w:w="1583" w:type="dxa"/>
          </w:tcPr>
          <w:p w14:paraId="14DAB5DC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sz w:val="18"/>
                <w:szCs w:val="18"/>
              </w:rPr>
              <w:t>Just Rackets</w:t>
            </w:r>
          </w:p>
        </w:tc>
        <w:tc>
          <w:tcPr>
            <w:tcW w:w="2594" w:type="dxa"/>
          </w:tcPr>
          <w:p w14:paraId="257F65F5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sz w:val="18"/>
                <w:szCs w:val="18"/>
              </w:rPr>
              <w:t>Basketball Backboard</w:t>
            </w:r>
          </w:p>
        </w:tc>
        <w:tc>
          <w:tcPr>
            <w:tcW w:w="1159" w:type="dxa"/>
          </w:tcPr>
          <w:p w14:paraId="237721DA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sz w:val="18"/>
                <w:szCs w:val="18"/>
              </w:rPr>
              <w:t>£129.16</w:t>
            </w:r>
          </w:p>
        </w:tc>
        <w:tc>
          <w:tcPr>
            <w:tcW w:w="1047" w:type="dxa"/>
          </w:tcPr>
          <w:p w14:paraId="2C5A645D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sz w:val="18"/>
                <w:szCs w:val="18"/>
              </w:rPr>
              <w:t>£25.83</w:t>
            </w:r>
          </w:p>
        </w:tc>
        <w:tc>
          <w:tcPr>
            <w:tcW w:w="1159" w:type="dxa"/>
          </w:tcPr>
          <w:p w14:paraId="22C91828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sz w:val="18"/>
                <w:szCs w:val="18"/>
              </w:rPr>
              <w:t>£154.99</w:t>
            </w:r>
          </w:p>
        </w:tc>
        <w:tc>
          <w:tcPr>
            <w:tcW w:w="2193" w:type="dxa"/>
          </w:tcPr>
          <w:p w14:paraId="17B07E3E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sz w:val="18"/>
                <w:szCs w:val="18"/>
              </w:rPr>
              <w:t>Finance Regulations</w:t>
            </w:r>
          </w:p>
        </w:tc>
      </w:tr>
      <w:tr w:rsidR="00CB6F99" w:rsidRPr="008C1E28" w14:paraId="519AF003" w14:textId="77777777" w:rsidTr="00354478">
        <w:trPr>
          <w:trHeight w:val="325"/>
        </w:trPr>
        <w:tc>
          <w:tcPr>
            <w:tcW w:w="1334" w:type="dxa"/>
          </w:tcPr>
          <w:p w14:paraId="1D5CF0ED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sz w:val="18"/>
                <w:szCs w:val="18"/>
              </w:rPr>
              <w:t>BACS1588</w:t>
            </w:r>
          </w:p>
        </w:tc>
        <w:tc>
          <w:tcPr>
            <w:tcW w:w="1583" w:type="dxa"/>
          </w:tcPr>
          <w:p w14:paraId="11937464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sz w:val="18"/>
                <w:szCs w:val="18"/>
              </w:rPr>
              <w:t>C.Wrigley</w:t>
            </w:r>
          </w:p>
        </w:tc>
        <w:tc>
          <w:tcPr>
            <w:tcW w:w="2594" w:type="dxa"/>
          </w:tcPr>
          <w:p w14:paraId="60E4CDF5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sz w:val="18"/>
                <w:szCs w:val="18"/>
              </w:rPr>
              <w:t>Mileage</w:t>
            </w:r>
          </w:p>
        </w:tc>
        <w:tc>
          <w:tcPr>
            <w:tcW w:w="1159" w:type="dxa"/>
          </w:tcPr>
          <w:p w14:paraId="44BE2198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sz w:val="18"/>
                <w:szCs w:val="18"/>
              </w:rPr>
              <w:t>£18.00</w:t>
            </w:r>
          </w:p>
        </w:tc>
        <w:tc>
          <w:tcPr>
            <w:tcW w:w="1047" w:type="dxa"/>
          </w:tcPr>
          <w:p w14:paraId="4D1BAC25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59" w:type="dxa"/>
          </w:tcPr>
          <w:p w14:paraId="39A7DECF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sz w:val="18"/>
                <w:szCs w:val="18"/>
              </w:rPr>
              <w:t>£18.00</w:t>
            </w:r>
          </w:p>
        </w:tc>
        <w:tc>
          <w:tcPr>
            <w:tcW w:w="2193" w:type="dxa"/>
          </w:tcPr>
          <w:p w14:paraId="781B7D18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sz w:val="18"/>
                <w:szCs w:val="18"/>
              </w:rPr>
              <w:t>Contractual</w:t>
            </w:r>
          </w:p>
        </w:tc>
      </w:tr>
      <w:tr w:rsidR="00CB6F99" w:rsidRPr="008C1E28" w14:paraId="1118678A" w14:textId="77777777" w:rsidTr="00354478">
        <w:trPr>
          <w:trHeight w:val="398"/>
        </w:trPr>
        <w:tc>
          <w:tcPr>
            <w:tcW w:w="1334" w:type="dxa"/>
            <w:vAlign w:val="center"/>
          </w:tcPr>
          <w:p w14:paraId="3FF68B51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BACS1589</w:t>
            </w:r>
          </w:p>
        </w:tc>
        <w:tc>
          <w:tcPr>
            <w:tcW w:w="1583" w:type="dxa"/>
            <w:vAlign w:val="center"/>
          </w:tcPr>
          <w:p w14:paraId="704B6F4D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Vertas</w:t>
            </w:r>
          </w:p>
        </w:tc>
        <w:tc>
          <w:tcPr>
            <w:tcW w:w="2594" w:type="dxa"/>
            <w:vAlign w:val="center"/>
          </w:tcPr>
          <w:p w14:paraId="18F9C4C0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Contract Mowing</w:t>
            </w:r>
          </w:p>
        </w:tc>
        <w:tc>
          <w:tcPr>
            <w:tcW w:w="1159" w:type="dxa"/>
            <w:vAlign w:val="center"/>
          </w:tcPr>
          <w:p w14:paraId="40FDC341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£1596.15</w:t>
            </w:r>
          </w:p>
        </w:tc>
        <w:tc>
          <w:tcPr>
            <w:tcW w:w="1047" w:type="dxa"/>
            <w:vAlign w:val="center"/>
          </w:tcPr>
          <w:p w14:paraId="623875B8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£319.23</w:t>
            </w:r>
          </w:p>
        </w:tc>
        <w:tc>
          <w:tcPr>
            <w:tcW w:w="1159" w:type="dxa"/>
            <w:vAlign w:val="center"/>
          </w:tcPr>
          <w:p w14:paraId="2B08FD45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£1915.38</w:t>
            </w:r>
          </w:p>
        </w:tc>
        <w:tc>
          <w:tcPr>
            <w:tcW w:w="2193" w:type="dxa"/>
            <w:vAlign w:val="center"/>
          </w:tcPr>
          <w:p w14:paraId="12E90959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Contractual</w:t>
            </w:r>
          </w:p>
        </w:tc>
      </w:tr>
      <w:tr w:rsidR="00CB6F99" w:rsidRPr="008C1E28" w14:paraId="57F078CC" w14:textId="77777777" w:rsidTr="00354478">
        <w:trPr>
          <w:trHeight w:val="334"/>
        </w:trPr>
        <w:tc>
          <w:tcPr>
            <w:tcW w:w="1334" w:type="dxa"/>
            <w:vAlign w:val="center"/>
          </w:tcPr>
          <w:p w14:paraId="7048C231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BACS1590</w:t>
            </w:r>
          </w:p>
        </w:tc>
        <w:tc>
          <w:tcPr>
            <w:tcW w:w="1583" w:type="dxa"/>
          </w:tcPr>
          <w:p w14:paraId="324EC052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Vertas</w:t>
            </w:r>
          </w:p>
        </w:tc>
        <w:tc>
          <w:tcPr>
            <w:tcW w:w="2594" w:type="dxa"/>
          </w:tcPr>
          <w:p w14:paraId="1234E0A2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Contract Mowing</w:t>
            </w:r>
          </w:p>
        </w:tc>
        <w:tc>
          <w:tcPr>
            <w:tcW w:w="1159" w:type="dxa"/>
            <w:vAlign w:val="center"/>
          </w:tcPr>
          <w:p w14:paraId="119A6E56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£1661.59</w:t>
            </w:r>
          </w:p>
        </w:tc>
        <w:tc>
          <w:tcPr>
            <w:tcW w:w="1047" w:type="dxa"/>
            <w:vAlign w:val="center"/>
          </w:tcPr>
          <w:p w14:paraId="6C8797A8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£332.32</w:t>
            </w:r>
          </w:p>
        </w:tc>
        <w:tc>
          <w:tcPr>
            <w:tcW w:w="1159" w:type="dxa"/>
            <w:vAlign w:val="center"/>
          </w:tcPr>
          <w:p w14:paraId="28D1EDA3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£1993.91</w:t>
            </w:r>
          </w:p>
        </w:tc>
        <w:tc>
          <w:tcPr>
            <w:tcW w:w="2193" w:type="dxa"/>
          </w:tcPr>
          <w:p w14:paraId="18964562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8C1E2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Contractual</w:t>
            </w:r>
          </w:p>
        </w:tc>
      </w:tr>
      <w:tr w:rsidR="00CB6F99" w:rsidRPr="008C1E28" w14:paraId="64053244" w14:textId="77777777" w:rsidTr="00354478">
        <w:trPr>
          <w:trHeight w:val="352"/>
        </w:trPr>
        <w:tc>
          <w:tcPr>
            <w:tcW w:w="1334" w:type="dxa"/>
          </w:tcPr>
          <w:p w14:paraId="3F570CCA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rPr>
                <w:sz w:val="18"/>
                <w:szCs w:val="18"/>
              </w:rPr>
            </w:pPr>
            <w:r w:rsidRPr="008C1E28">
              <w:rPr>
                <w:sz w:val="18"/>
                <w:szCs w:val="18"/>
              </w:rPr>
              <w:t>BACS1593</w:t>
            </w:r>
          </w:p>
        </w:tc>
        <w:tc>
          <w:tcPr>
            <w:tcW w:w="1583" w:type="dxa"/>
          </w:tcPr>
          <w:p w14:paraId="099283B1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18"/>
                <w:szCs w:val="18"/>
              </w:rPr>
            </w:pPr>
            <w:r w:rsidRPr="008C1E28">
              <w:rPr>
                <w:sz w:val="18"/>
                <w:szCs w:val="18"/>
              </w:rPr>
              <w:t>H.</w:t>
            </w:r>
            <w:proofErr w:type="gramStart"/>
            <w:r w:rsidRPr="008C1E28">
              <w:rPr>
                <w:sz w:val="18"/>
                <w:szCs w:val="18"/>
              </w:rPr>
              <w:t>A.Society</w:t>
            </w:r>
            <w:proofErr w:type="gramEnd"/>
          </w:p>
        </w:tc>
        <w:tc>
          <w:tcPr>
            <w:tcW w:w="2594" w:type="dxa"/>
          </w:tcPr>
          <w:p w14:paraId="54D2DCC4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18"/>
                <w:szCs w:val="18"/>
              </w:rPr>
            </w:pPr>
            <w:r w:rsidRPr="008C1E28">
              <w:rPr>
                <w:sz w:val="18"/>
                <w:szCs w:val="18"/>
              </w:rPr>
              <w:t>Payment made to HPC in error.</w:t>
            </w:r>
          </w:p>
        </w:tc>
        <w:tc>
          <w:tcPr>
            <w:tcW w:w="1159" w:type="dxa"/>
          </w:tcPr>
          <w:p w14:paraId="386C1F46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18"/>
                <w:szCs w:val="18"/>
              </w:rPr>
            </w:pPr>
            <w:r w:rsidRPr="008C1E28">
              <w:rPr>
                <w:sz w:val="18"/>
                <w:szCs w:val="18"/>
              </w:rPr>
              <w:t>£5.00</w:t>
            </w:r>
          </w:p>
        </w:tc>
        <w:tc>
          <w:tcPr>
            <w:tcW w:w="1047" w:type="dxa"/>
          </w:tcPr>
          <w:p w14:paraId="26F892A1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</w:tcPr>
          <w:p w14:paraId="291DE7EE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18"/>
                <w:szCs w:val="18"/>
              </w:rPr>
            </w:pPr>
            <w:r w:rsidRPr="008C1E28">
              <w:rPr>
                <w:sz w:val="18"/>
                <w:szCs w:val="18"/>
              </w:rPr>
              <w:t>£5.00</w:t>
            </w:r>
          </w:p>
        </w:tc>
        <w:tc>
          <w:tcPr>
            <w:tcW w:w="2193" w:type="dxa"/>
          </w:tcPr>
          <w:p w14:paraId="7B576D33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18"/>
                <w:szCs w:val="18"/>
              </w:rPr>
            </w:pPr>
            <w:r w:rsidRPr="008C1E28">
              <w:rPr>
                <w:sz w:val="18"/>
                <w:szCs w:val="18"/>
              </w:rPr>
              <w:t>Finance Regulations</w:t>
            </w:r>
          </w:p>
        </w:tc>
      </w:tr>
      <w:tr w:rsidR="00CB6F99" w:rsidRPr="008C1E28" w14:paraId="630961CE" w14:textId="77777777" w:rsidTr="00354478">
        <w:trPr>
          <w:trHeight w:val="272"/>
        </w:trPr>
        <w:tc>
          <w:tcPr>
            <w:tcW w:w="1334" w:type="dxa"/>
            <w:vAlign w:val="center"/>
          </w:tcPr>
          <w:p w14:paraId="3666348B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18"/>
                <w:szCs w:val="18"/>
              </w:rPr>
            </w:pPr>
            <w:r w:rsidRPr="008C1E28">
              <w:rPr>
                <w:color w:val="000000"/>
                <w:sz w:val="18"/>
                <w:szCs w:val="18"/>
              </w:rPr>
              <w:t>BACS1594</w:t>
            </w:r>
          </w:p>
        </w:tc>
        <w:tc>
          <w:tcPr>
            <w:tcW w:w="1583" w:type="dxa"/>
            <w:vAlign w:val="center"/>
          </w:tcPr>
          <w:p w14:paraId="09FA8A2C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18"/>
                <w:szCs w:val="18"/>
              </w:rPr>
            </w:pPr>
            <w:r w:rsidRPr="008C1E28">
              <w:rPr>
                <w:color w:val="000000"/>
                <w:sz w:val="18"/>
                <w:szCs w:val="18"/>
              </w:rPr>
              <w:t>Mower Magic</w:t>
            </w:r>
          </w:p>
        </w:tc>
        <w:tc>
          <w:tcPr>
            <w:tcW w:w="2594" w:type="dxa"/>
            <w:vAlign w:val="center"/>
          </w:tcPr>
          <w:p w14:paraId="6B936D02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18"/>
                <w:szCs w:val="18"/>
              </w:rPr>
            </w:pPr>
            <w:r w:rsidRPr="008C1E28">
              <w:rPr>
                <w:color w:val="000000"/>
                <w:sz w:val="18"/>
                <w:szCs w:val="18"/>
              </w:rPr>
              <w:t xml:space="preserve">Sheen X500 Flame Gun </w:t>
            </w:r>
          </w:p>
        </w:tc>
        <w:tc>
          <w:tcPr>
            <w:tcW w:w="1159" w:type="dxa"/>
            <w:vAlign w:val="bottom"/>
          </w:tcPr>
          <w:p w14:paraId="11C9DA51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18"/>
                <w:szCs w:val="18"/>
              </w:rPr>
            </w:pPr>
            <w:r w:rsidRPr="008C1E28">
              <w:rPr>
                <w:color w:val="000000"/>
                <w:sz w:val="18"/>
                <w:szCs w:val="18"/>
              </w:rPr>
              <w:t>£238.50</w:t>
            </w:r>
          </w:p>
        </w:tc>
        <w:tc>
          <w:tcPr>
            <w:tcW w:w="1047" w:type="dxa"/>
            <w:vAlign w:val="bottom"/>
          </w:tcPr>
          <w:p w14:paraId="07C9212F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18"/>
                <w:szCs w:val="18"/>
              </w:rPr>
            </w:pPr>
            <w:r w:rsidRPr="008C1E28">
              <w:rPr>
                <w:color w:val="000000"/>
                <w:sz w:val="18"/>
                <w:szCs w:val="18"/>
              </w:rPr>
              <w:t>£47.70</w:t>
            </w:r>
          </w:p>
        </w:tc>
        <w:tc>
          <w:tcPr>
            <w:tcW w:w="1159" w:type="dxa"/>
            <w:vAlign w:val="bottom"/>
          </w:tcPr>
          <w:p w14:paraId="4A0AADB0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18"/>
                <w:szCs w:val="18"/>
              </w:rPr>
            </w:pPr>
            <w:r w:rsidRPr="008C1E28">
              <w:rPr>
                <w:color w:val="000000"/>
                <w:sz w:val="18"/>
                <w:szCs w:val="18"/>
              </w:rPr>
              <w:t>£286.20</w:t>
            </w:r>
          </w:p>
        </w:tc>
        <w:tc>
          <w:tcPr>
            <w:tcW w:w="2193" w:type="dxa"/>
            <w:vAlign w:val="center"/>
          </w:tcPr>
          <w:p w14:paraId="16B619D3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18"/>
                <w:szCs w:val="18"/>
              </w:rPr>
            </w:pPr>
            <w:r w:rsidRPr="008C1E28">
              <w:rPr>
                <w:color w:val="000000"/>
                <w:sz w:val="18"/>
                <w:szCs w:val="18"/>
              </w:rPr>
              <w:t>Finance Regulations</w:t>
            </w:r>
          </w:p>
        </w:tc>
      </w:tr>
      <w:tr w:rsidR="00CB6F99" w:rsidRPr="008C1E28" w14:paraId="3CC0AC3D" w14:textId="77777777" w:rsidTr="00354478">
        <w:trPr>
          <w:trHeight w:val="336"/>
        </w:trPr>
        <w:tc>
          <w:tcPr>
            <w:tcW w:w="1334" w:type="dxa"/>
            <w:vAlign w:val="center"/>
          </w:tcPr>
          <w:p w14:paraId="79FA17D7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18"/>
                <w:szCs w:val="18"/>
              </w:rPr>
            </w:pPr>
            <w:r w:rsidRPr="008C1E28">
              <w:rPr>
                <w:color w:val="000000"/>
                <w:sz w:val="18"/>
                <w:szCs w:val="18"/>
              </w:rPr>
              <w:t>BACS1595</w:t>
            </w:r>
          </w:p>
        </w:tc>
        <w:tc>
          <w:tcPr>
            <w:tcW w:w="1583" w:type="dxa"/>
            <w:vAlign w:val="center"/>
          </w:tcPr>
          <w:p w14:paraId="0A71848D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18"/>
                <w:szCs w:val="18"/>
              </w:rPr>
            </w:pPr>
            <w:r w:rsidRPr="008C1E28">
              <w:rPr>
                <w:color w:val="000000"/>
                <w:sz w:val="18"/>
                <w:szCs w:val="18"/>
              </w:rPr>
              <w:t>C.Wrigley</w:t>
            </w:r>
          </w:p>
        </w:tc>
        <w:tc>
          <w:tcPr>
            <w:tcW w:w="2594" w:type="dxa"/>
            <w:vAlign w:val="center"/>
          </w:tcPr>
          <w:p w14:paraId="3FF6C900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18"/>
                <w:szCs w:val="18"/>
              </w:rPr>
            </w:pPr>
            <w:r w:rsidRPr="008C1E28">
              <w:rPr>
                <w:color w:val="000000"/>
                <w:sz w:val="18"/>
                <w:szCs w:val="18"/>
              </w:rPr>
              <w:t>Maintenance Materials</w:t>
            </w:r>
          </w:p>
        </w:tc>
        <w:tc>
          <w:tcPr>
            <w:tcW w:w="1159" w:type="dxa"/>
            <w:vAlign w:val="bottom"/>
          </w:tcPr>
          <w:p w14:paraId="7989CC2E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18"/>
                <w:szCs w:val="18"/>
              </w:rPr>
            </w:pPr>
            <w:r w:rsidRPr="008C1E28">
              <w:rPr>
                <w:color w:val="000000"/>
                <w:sz w:val="18"/>
                <w:szCs w:val="18"/>
              </w:rPr>
              <w:t xml:space="preserve">£116.15 </w:t>
            </w:r>
          </w:p>
        </w:tc>
        <w:tc>
          <w:tcPr>
            <w:tcW w:w="1047" w:type="dxa"/>
            <w:vAlign w:val="bottom"/>
          </w:tcPr>
          <w:p w14:paraId="366AEFFB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18"/>
                <w:szCs w:val="18"/>
              </w:rPr>
            </w:pPr>
            <w:r w:rsidRPr="008C1E28">
              <w:rPr>
                <w:color w:val="000000"/>
                <w:sz w:val="18"/>
                <w:szCs w:val="18"/>
              </w:rPr>
              <w:t xml:space="preserve">£23.23 </w:t>
            </w:r>
          </w:p>
        </w:tc>
        <w:tc>
          <w:tcPr>
            <w:tcW w:w="1159" w:type="dxa"/>
            <w:vAlign w:val="bottom"/>
          </w:tcPr>
          <w:p w14:paraId="3F853FFC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18"/>
                <w:szCs w:val="18"/>
              </w:rPr>
            </w:pPr>
            <w:r w:rsidRPr="008C1E28">
              <w:rPr>
                <w:color w:val="000000"/>
                <w:sz w:val="18"/>
                <w:szCs w:val="18"/>
              </w:rPr>
              <w:t xml:space="preserve">£139.38 </w:t>
            </w:r>
          </w:p>
        </w:tc>
        <w:tc>
          <w:tcPr>
            <w:tcW w:w="2193" w:type="dxa"/>
            <w:vAlign w:val="center"/>
          </w:tcPr>
          <w:p w14:paraId="75F46B2E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18"/>
                <w:szCs w:val="18"/>
              </w:rPr>
            </w:pPr>
            <w:r w:rsidRPr="008C1E28">
              <w:rPr>
                <w:color w:val="000000"/>
                <w:sz w:val="18"/>
                <w:szCs w:val="18"/>
              </w:rPr>
              <w:t>Finance Regulations</w:t>
            </w:r>
          </w:p>
        </w:tc>
      </w:tr>
      <w:tr w:rsidR="00CB6F99" w:rsidRPr="008C1E28" w14:paraId="6B8500DC" w14:textId="77777777" w:rsidTr="00354478">
        <w:trPr>
          <w:trHeight w:val="139"/>
        </w:trPr>
        <w:tc>
          <w:tcPr>
            <w:tcW w:w="1334" w:type="dxa"/>
            <w:vAlign w:val="center"/>
          </w:tcPr>
          <w:p w14:paraId="469C629F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18"/>
                <w:szCs w:val="18"/>
              </w:rPr>
            </w:pPr>
            <w:r w:rsidRPr="008C1E28">
              <w:rPr>
                <w:color w:val="000000"/>
                <w:sz w:val="18"/>
                <w:szCs w:val="18"/>
              </w:rPr>
              <w:t>BACS1596</w:t>
            </w:r>
          </w:p>
        </w:tc>
        <w:tc>
          <w:tcPr>
            <w:tcW w:w="1583" w:type="dxa"/>
            <w:vAlign w:val="center"/>
          </w:tcPr>
          <w:p w14:paraId="78804C05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18"/>
                <w:szCs w:val="18"/>
              </w:rPr>
            </w:pPr>
            <w:r w:rsidRPr="008C1E28">
              <w:rPr>
                <w:color w:val="000000"/>
                <w:sz w:val="18"/>
                <w:szCs w:val="18"/>
              </w:rPr>
              <w:t>C.Wrigley</w:t>
            </w:r>
          </w:p>
        </w:tc>
        <w:tc>
          <w:tcPr>
            <w:tcW w:w="2594" w:type="dxa"/>
            <w:vAlign w:val="center"/>
          </w:tcPr>
          <w:p w14:paraId="6CF148FC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18"/>
                <w:szCs w:val="18"/>
              </w:rPr>
            </w:pPr>
            <w:r w:rsidRPr="008C1E28">
              <w:rPr>
                <w:color w:val="000000"/>
                <w:sz w:val="18"/>
                <w:szCs w:val="18"/>
              </w:rPr>
              <w:t>Bench Repair Equipment</w:t>
            </w:r>
          </w:p>
        </w:tc>
        <w:tc>
          <w:tcPr>
            <w:tcW w:w="1159" w:type="dxa"/>
            <w:vAlign w:val="bottom"/>
          </w:tcPr>
          <w:p w14:paraId="7F89DE69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18"/>
                <w:szCs w:val="18"/>
              </w:rPr>
            </w:pPr>
            <w:r w:rsidRPr="008C1E28">
              <w:rPr>
                <w:color w:val="000000"/>
                <w:sz w:val="18"/>
                <w:szCs w:val="18"/>
              </w:rPr>
              <w:t xml:space="preserve">£48.49 </w:t>
            </w:r>
          </w:p>
        </w:tc>
        <w:tc>
          <w:tcPr>
            <w:tcW w:w="1047" w:type="dxa"/>
            <w:vAlign w:val="bottom"/>
          </w:tcPr>
          <w:p w14:paraId="67264D84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18"/>
                <w:szCs w:val="18"/>
              </w:rPr>
            </w:pPr>
            <w:r w:rsidRPr="008C1E2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vAlign w:val="bottom"/>
          </w:tcPr>
          <w:p w14:paraId="4378A608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18"/>
                <w:szCs w:val="18"/>
              </w:rPr>
            </w:pPr>
            <w:r w:rsidRPr="008C1E28">
              <w:rPr>
                <w:color w:val="000000"/>
                <w:sz w:val="18"/>
                <w:szCs w:val="18"/>
              </w:rPr>
              <w:t xml:space="preserve">£48.49 </w:t>
            </w:r>
          </w:p>
        </w:tc>
        <w:tc>
          <w:tcPr>
            <w:tcW w:w="2193" w:type="dxa"/>
            <w:vAlign w:val="center"/>
          </w:tcPr>
          <w:p w14:paraId="06865C06" w14:textId="77777777" w:rsidR="00CB6F99" w:rsidRPr="008C1E28" w:rsidRDefault="00CB6F99" w:rsidP="00354478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18"/>
                <w:szCs w:val="18"/>
              </w:rPr>
            </w:pPr>
            <w:r w:rsidRPr="008C1E28">
              <w:rPr>
                <w:color w:val="000000"/>
                <w:sz w:val="18"/>
                <w:szCs w:val="18"/>
              </w:rPr>
              <w:t>Finance Regulations</w:t>
            </w:r>
          </w:p>
        </w:tc>
      </w:tr>
    </w:tbl>
    <w:p w14:paraId="0C384097" w14:textId="77777777" w:rsidR="00CB6F99" w:rsidRPr="008C1E28" w:rsidRDefault="00CB6F99" w:rsidP="001C3DAA">
      <w:pPr>
        <w:pStyle w:val="BodyText"/>
        <w:tabs>
          <w:tab w:val="left" w:pos="8869"/>
        </w:tabs>
        <w:spacing w:before="185" w:line="240" w:lineRule="auto"/>
        <w:rPr>
          <w:w w:val="105"/>
          <w:sz w:val="22"/>
          <w:szCs w:val="22"/>
        </w:rPr>
      </w:pPr>
    </w:p>
    <w:p w14:paraId="36A4C00F" w14:textId="0B44031B" w:rsidR="005110C3" w:rsidRPr="008C1E28" w:rsidRDefault="00FA3271" w:rsidP="003D5403">
      <w:pPr>
        <w:tabs>
          <w:tab w:val="left" w:pos="851"/>
        </w:tabs>
        <w:spacing w:line="360" w:lineRule="auto"/>
        <w:ind w:right="108"/>
      </w:pPr>
      <w:r w:rsidRPr="008C1E28">
        <w:rPr>
          <w:b/>
          <w:w w:val="105"/>
        </w:rPr>
        <w:t xml:space="preserve">F0525/10 </w:t>
      </w:r>
      <w:r w:rsidR="005110C3" w:rsidRPr="008C1E28">
        <w:rPr>
          <w:b/>
          <w:w w:val="105"/>
        </w:rPr>
        <w:t xml:space="preserve">Direct Debit Payments </w:t>
      </w:r>
      <w:r w:rsidR="005110C3" w:rsidRPr="008C1E28">
        <w:t xml:space="preserve">– </w:t>
      </w:r>
      <w:r w:rsidR="001C3DAA" w:rsidRPr="008C1E28">
        <w:t xml:space="preserve">All </w:t>
      </w:r>
      <w:r w:rsidR="005110C3" w:rsidRPr="008C1E28">
        <w:t xml:space="preserve">Direct Debit payments </w:t>
      </w:r>
      <w:r w:rsidR="001C3DAA" w:rsidRPr="008C1E28">
        <w:t>below were approved.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25"/>
        <w:gridCol w:w="2097"/>
        <w:gridCol w:w="2256"/>
        <w:gridCol w:w="1270"/>
        <w:gridCol w:w="980"/>
        <w:gridCol w:w="1500"/>
        <w:gridCol w:w="1577"/>
      </w:tblGrid>
      <w:tr w:rsidR="0088210F" w:rsidRPr="008C1E28" w14:paraId="0E9C736F" w14:textId="77777777" w:rsidTr="00CB6F99">
        <w:tc>
          <w:tcPr>
            <w:tcW w:w="1125" w:type="dxa"/>
            <w:vAlign w:val="bottom"/>
          </w:tcPr>
          <w:p w14:paraId="74530946" w14:textId="267B9812" w:rsidR="0088210F" w:rsidRPr="008C1E28" w:rsidRDefault="0088210F" w:rsidP="0088210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C1E28">
              <w:rPr>
                <w:b/>
                <w:bCs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097" w:type="dxa"/>
            <w:vAlign w:val="center"/>
          </w:tcPr>
          <w:p w14:paraId="3097C45B" w14:textId="6E85B311" w:rsidR="0088210F" w:rsidRPr="008C1E28" w:rsidRDefault="0088210F" w:rsidP="0088210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C1E28">
              <w:rPr>
                <w:b/>
                <w:bCs/>
                <w:color w:val="000000"/>
                <w:sz w:val="18"/>
                <w:szCs w:val="18"/>
              </w:rPr>
              <w:t>Payee</w:t>
            </w:r>
          </w:p>
        </w:tc>
        <w:tc>
          <w:tcPr>
            <w:tcW w:w="2256" w:type="dxa"/>
            <w:vAlign w:val="center"/>
          </w:tcPr>
          <w:p w14:paraId="4954AFB3" w14:textId="1A338CC9" w:rsidR="0088210F" w:rsidRPr="008C1E28" w:rsidRDefault="0088210F" w:rsidP="0088210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C1E28">
              <w:rPr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1270" w:type="dxa"/>
            <w:vAlign w:val="center"/>
          </w:tcPr>
          <w:p w14:paraId="50E53B4C" w14:textId="46ACCD5E" w:rsidR="0088210F" w:rsidRPr="008C1E28" w:rsidRDefault="0088210F" w:rsidP="0088210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C1E28">
              <w:rPr>
                <w:b/>
                <w:bCs/>
                <w:color w:val="000000"/>
                <w:sz w:val="18"/>
                <w:szCs w:val="18"/>
              </w:rPr>
              <w:t>Net cost</w:t>
            </w:r>
          </w:p>
        </w:tc>
        <w:tc>
          <w:tcPr>
            <w:tcW w:w="980" w:type="dxa"/>
            <w:vAlign w:val="center"/>
          </w:tcPr>
          <w:p w14:paraId="0520A137" w14:textId="6E4F5A86" w:rsidR="0088210F" w:rsidRPr="008C1E28" w:rsidRDefault="0088210F" w:rsidP="0088210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C1E28">
              <w:rPr>
                <w:b/>
                <w:bCs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500" w:type="dxa"/>
            <w:vAlign w:val="center"/>
          </w:tcPr>
          <w:p w14:paraId="4FD55CD9" w14:textId="7550BC8A" w:rsidR="0088210F" w:rsidRPr="008C1E28" w:rsidRDefault="0088210F" w:rsidP="0088210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C1E28">
              <w:rPr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77" w:type="dxa"/>
            <w:vAlign w:val="center"/>
          </w:tcPr>
          <w:p w14:paraId="4757CE91" w14:textId="355DEFB2" w:rsidR="0088210F" w:rsidRPr="008C1E28" w:rsidRDefault="0088210F" w:rsidP="0088210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C1E28">
              <w:rPr>
                <w:b/>
                <w:bCs/>
                <w:color w:val="000000"/>
                <w:sz w:val="18"/>
                <w:szCs w:val="18"/>
              </w:rPr>
              <w:t>Provenance Authority</w:t>
            </w:r>
          </w:p>
        </w:tc>
      </w:tr>
      <w:tr w:rsidR="00CB6F99" w:rsidRPr="008C1E28" w14:paraId="6F5BF374" w14:textId="77777777" w:rsidTr="00CB6F99">
        <w:tc>
          <w:tcPr>
            <w:tcW w:w="1125" w:type="dxa"/>
            <w:vAlign w:val="bottom"/>
          </w:tcPr>
          <w:p w14:paraId="23052C3D" w14:textId="6FC1595A" w:rsidR="00CB6F99" w:rsidRPr="008C1E28" w:rsidRDefault="00CB6F99" w:rsidP="00CB6F9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C1E28">
              <w:rPr>
                <w:color w:val="000000"/>
                <w:sz w:val="18"/>
                <w:szCs w:val="18"/>
              </w:rPr>
              <w:t>DD7</w:t>
            </w:r>
          </w:p>
        </w:tc>
        <w:tc>
          <w:tcPr>
            <w:tcW w:w="2097" w:type="dxa"/>
            <w:vAlign w:val="center"/>
          </w:tcPr>
          <w:p w14:paraId="187EDB82" w14:textId="678DBBCB" w:rsidR="00CB6F99" w:rsidRPr="008C1E28" w:rsidRDefault="00CB6F99" w:rsidP="00CB6F9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C1E28">
              <w:rPr>
                <w:color w:val="000000"/>
                <w:sz w:val="18"/>
                <w:szCs w:val="18"/>
              </w:rPr>
              <w:t>NEST Pension</w:t>
            </w:r>
          </w:p>
        </w:tc>
        <w:tc>
          <w:tcPr>
            <w:tcW w:w="2256" w:type="dxa"/>
            <w:vAlign w:val="center"/>
          </w:tcPr>
          <w:p w14:paraId="55B7B84E" w14:textId="436A3C61" w:rsidR="00CB6F99" w:rsidRPr="008C1E28" w:rsidRDefault="00CB6F99" w:rsidP="00CB6F9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C1E28">
              <w:rPr>
                <w:color w:val="000000"/>
                <w:sz w:val="18"/>
                <w:szCs w:val="18"/>
              </w:rPr>
              <w:t>Employee Pension</w:t>
            </w:r>
          </w:p>
        </w:tc>
        <w:tc>
          <w:tcPr>
            <w:tcW w:w="1270" w:type="dxa"/>
            <w:vAlign w:val="center"/>
          </w:tcPr>
          <w:p w14:paraId="04267D61" w14:textId="5676E240" w:rsidR="00CB6F99" w:rsidRPr="008C1E28" w:rsidRDefault="00CB6F99" w:rsidP="00CB6F9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C1E28">
              <w:rPr>
                <w:color w:val="000000"/>
                <w:sz w:val="18"/>
                <w:szCs w:val="18"/>
              </w:rPr>
              <w:t xml:space="preserve">£153.37 </w:t>
            </w:r>
          </w:p>
        </w:tc>
        <w:tc>
          <w:tcPr>
            <w:tcW w:w="980" w:type="dxa"/>
            <w:vAlign w:val="center"/>
          </w:tcPr>
          <w:p w14:paraId="53A49B13" w14:textId="29D2A192" w:rsidR="00CB6F99" w:rsidRPr="008C1E28" w:rsidRDefault="00CB6F99" w:rsidP="00CB6F9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C1E2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vAlign w:val="center"/>
          </w:tcPr>
          <w:p w14:paraId="6CDE0184" w14:textId="13F34C6E" w:rsidR="00CB6F99" w:rsidRPr="008C1E28" w:rsidRDefault="00CB6F99" w:rsidP="00CB6F9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C1E28">
              <w:rPr>
                <w:color w:val="000000"/>
                <w:sz w:val="18"/>
                <w:szCs w:val="18"/>
              </w:rPr>
              <w:t xml:space="preserve">£153.37 </w:t>
            </w:r>
          </w:p>
        </w:tc>
        <w:tc>
          <w:tcPr>
            <w:tcW w:w="1577" w:type="dxa"/>
            <w:vAlign w:val="center"/>
          </w:tcPr>
          <w:p w14:paraId="1BED0816" w14:textId="0449158A" w:rsidR="00CB6F99" w:rsidRPr="008C1E28" w:rsidRDefault="00CB6F99" w:rsidP="00CB6F9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C1E28">
              <w:rPr>
                <w:color w:val="000000"/>
                <w:sz w:val="18"/>
                <w:szCs w:val="18"/>
              </w:rPr>
              <w:t>Contractual</w:t>
            </w:r>
          </w:p>
        </w:tc>
      </w:tr>
      <w:tr w:rsidR="00CB6F99" w:rsidRPr="008C1E28" w14:paraId="3315B6DB" w14:textId="77777777" w:rsidTr="00CB6F99">
        <w:tc>
          <w:tcPr>
            <w:tcW w:w="1125" w:type="dxa"/>
            <w:vAlign w:val="bottom"/>
          </w:tcPr>
          <w:p w14:paraId="3597A393" w14:textId="02CBFA25" w:rsidR="00CB6F99" w:rsidRPr="008C1E28" w:rsidRDefault="00CB6F99" w:rsidP="00CB6F9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C1E28">
              <w:rPr>
                <w:color w:val="000000"/>
                <w:sz w:val="18"/>
                <w:szCs w:val="18"/>
              </w:rPr>
              <w:t>DD8</w:t>
            </w:r>
          </w:p>
        </w:tc>
        <w:tc>
          <w:tcPr>
            <w:tcW w:w="2097" w:type="dxa"/>
            <w:vAlign w:val="center"/>
          </w:tcPr>
          <w:p w14:paraId="156B10C0" w14:textId="66481AF5" w:rsidR="00CB6F99" w:rsidRPr="008C1E28" w:rsidRDefault="00CB6F99" w:rsidP="00CB6F9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C1E28">
              <w:rPr>
                <w:color w:val="000000"/>
                <w:sz w:val="18"/>
                <w:szCs w:val="18"/>
              </w:rPr>
              <w:t>TalkTalk</w:t>
            </w:r>
          </w:p>
        </w:tc>
        <w:tc>
          <w:tcPr>
            <w:tcW w:w="2256" w:type="dxa"/>
            <w:vAlign w:val="center"/>
          </w:tcPr>
          <w:p w14:paraId="476E6121" w14:textId="773F07B6" w:rsidR="00CB6F99" w:rsidRPr="008C1E28" w:rsidRDefault="00CB6F99" w:rsidP="00CB6F9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C1E28">
              <w:rPr>
                <w:color w:val="000000"/>
                <w:sz w:val="18"/>
                <w:szCs w:val="18"/>
              </w:rPr>
              <w:t>Broadband</w:t>
            </w:r>
          </w:p>
        </w:tc>
        <w:tc>
          <w:tcPr>
            <w:tcW w:w="1270" w:type="dxa"/>
            <w:vAlign w:val="center"/>
          </w:tcPr>
          <w:p w14:paraId="7090FE7C" w14:textId="4A8EAE6C" w:rsidR="00CB6F99" w:rsidRPr="008C1E28" w:rsidRDefault="00CB6F99" w:rsidP="00CB6F9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C1E28">
              <w:rPr>
                <w:color w:val="000000"/>
                <w:sz w:val="18"/>
                <w:szCs w:val="18"/>
              </w:rPr>
              <w:t xml:space="preserve">£64.51 </w:t>
            </w:r>
          </w:p>
        </w:tc>
        <w:tc>
          <w:tcPr>
            <w:tcW w:w="980" w:type="dxa"/>
            <w:vAlign w:val="center"/>
          </w:tcPr>
          <w:p w14:paraId="057FD08A" w14:textId="785177D8" w:rsidR="00CB6F99" w:rsidRPr="008C1E28" w:rsidRDefault="00CB6F99" w:rsidP="00CB6F9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C1E28">
              <w:rPr>
                <w:color w:val="000000"/>
                <w:sz w:val="18"/>
                <w:szCs w:val="18"/>
              </w:rPr>
              <w:t xml:space="preserve">£12.90 </w:t>
            </w:r>
          </w:p>
        </w:tc>
        <w:tc>
          <w:tcPr>
            <w:tcW w:w="1500" w:type="dxa"/>
            <w:vAlign w:val="center"/>
          </w:tcPr>
          <w:p w14:paraId="136FEA6B" w14:textId="1C10F11D" w:rsidR="00CB6F99" w:rsidRPr="008C1E28" w:rsidRDefault="00CB6F99" w:rsidP="00CB6F9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C1E28">
              <w:rPr>
                <w:color w:val="000000"/>
                <w:sz w:val="18"/>
                <w:szCs w:val="18"/>
              </w:rPr>
              <w:t xml:space="preserve">£77.41 </w:t>
            </w:r>
          </w:p>
        </w:tc>
        <w:tc>
          <w:tcPr>
            <w:tcW w:w="1577" w:type="dxa"/>
            <w:vAlign w:val="bottom"/>
          </w:tcPr>
          <w:p w14:paraId="4780CBC2" w14:textId="5BD23A0E" w:rsidR="00CB6F99" w:rsidRPr="008C1E28" w:rsidRDefault="00CB6F99" w:rsidP="00CB6F9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C1E28">
              <w:rPr>
                <w:color w:val="000000"/>
                <w:sz w:val="18"/>
                <w:szCs w:val="18"/>
              </w:rPr>
              <w:t>Contractual</w:t>
            </w:r>
          </w:p>
        </w:tc>
      </w:tr>
    </w:tbl>
    <w:p w14:paraId="24A19240" w14:textId="77777777" w:rsidR="00563BA8" w:rsidRPr="008C1E28" w:rsidRDefault="00563BA8" w:rsidP="00787B96">
      <w:pPr>
        <w:spacing w:line="360" w:lineRule="auto"/>
        <w:ind w:left="229"/>
      </w:pPr>
    </w:p>
    <w:p w14:paraId="6A25E24E" w14:textId="19A01C8B" w:rsidR="001C3DAA" w:rsidRPr="008C1E28" w:rsidRDefault="00FA3271" w:rsidP="003D5403">
      <w:pPr>
        <w:tabs>
          <w:tab w:val="left" w:pos="938"/>
          <w:tab w:val="left" w:pos="939"/>
        </w:tabs>
        <w:spacing w:before="1" w:line="360" w:lineRule="auto"/>
        <w:rPr>
          <w:w w:val="105"/>
        </w:rPr>
      </w:pPr>
      <w:r w:rsidRPr="008C1E28">
        <w:rPr>
          <w:b/>
          <w:w w:val="105"/>
        </w:rPr>
        <w:t xml:space="preserve">F0524/11 </w:t>
      </w:r>
      <w:r w:rsidR="00402761" w:rsidRPr="008C1E28">
        <w:rPr>
          <w:b/>
          <w:w w:val="105"/>
        </w:rPr>
        <w:t xml:space="preserve">Date of next meeting </w:t>
      </w:r>
      <w:r w:rsidR="001C3DAA" w:rsidRPr="008C1E28">
        <w:rPr>
          <w:bCs/>
          <w:w w:val="105"/>
        </w:rPr>
        <w:t>–</w:t>
      </w:r>
      <w:r w:rsidR="007167A0" w:rsidRPr="008C1E28">
        <w:rPr>
          <w:bCs/>
          <w:w w:val="105"/>
        </w:rPr>
        <w:t xml:space="preserve"> </w:t>
      </w:r>
      <w:r w:rsidR="001C3DAA" w:rsidRPr="008C1E28">
        <w:rPr>
          <w:w w:val="105"/>
        </w:rPr>
        <w:t xml:space="preserve">The date for the next Finance meeting was confirmed for Wednesday </w:t>
      </w:r>
      <w:r w:rsidR="00CB6F99" w:rsidRPr="008C1E28">
        <w:rPr>
          <w:w w:val="105"/>
        </w:rPr>
        <w:t>21</w:t>
      </w:r>
      <w:r w:rsidR="00CB6F99" w:rsidRPr="008C1E28">
        <w:rPr>
          <w:w w:val="105"/>
          <w:vertAlign w:val="superscript"/>
        </w:rPr>
        <w:t>st</w:t>
      </w:r>
      <w:r w:rsidR="00CB6F99" w:rsidRPr="008C1E28">
        <w:rPr>
          <w:w w:val="105"/>
        </w:rPr>
        <w:t xml:space="preserve"> August 2024.</w:t>
      </w:r>
    </w:p>
    <w:p w14:paraId="7F8F4547" w14:textId="77777777" w:rsidR="00A25ADA" w:rsidRPr="008C1E28" w:rsidRDefault="00A25ADA" w:rsidP="003D5403">
      <w:pPr>
        <w:tabs>
          <w:tab w:val="left" w:pos="938"/>
          <w:tab w:val="left" w:pos="939"/>
        </w:tabs>
        <w:spacing w:before="1" w:line="360" w:lineRule="auto"/>
        <w:rPr>
          <w:w w:val="105"/>
        </w:rPr>
      </w:pPr>
    </w:p>
    <w:p w14:paraId="0853BE85" w14:textId="13EB9F2E" w:rsidR="001C3DAA" w:rsidRPr="008C1E28" w:rsidRDefault="001C3DAA" w:rsidP="003D5403">
      <w:pPr>
        <w:tabs>
          <w:tab w:val="left" w:pos="938"/>
          <w:tab w:val="left" w:pos="939"/>
        </w:tabs>
        <w:spacing w:before="1" w:line="360" w:lineRule="auto"/>
        <w:rPr>
          <w:b/>
          <w:bCs/>
        </w:rPr>
      </w:pPr>
      <w:r w:rsidRPr="008C1E28">
        <w:rPr>
          <w:b/>
          <w:bCs/>
          <w:w w:val="105"/>
        </w:rPr>
        <w:t xml:space="preserve">Meeting Ended at </w:t>
      </w:r>
      <w:r w:rsidR="00A31F74" w:rsidRPr="008C1E28">
        <w:rPr>
          <w:b/>
          <w:bCs/>
          <w:w w:val="105"/>
        </w:rPr>
        <w:t>17:</w:t>
      </w:r>
      <w:r w:rsidR="00CB6F99" w:rsidRPr="008C1E28">
        <w:rPr>
          <w:b/>
          <w:bCs/>
          <w:w w:val="105"/>
        </w:rPr>
        <w:t>34.</w:t>
      </w:r>
    </w:p>
    <w:sectPr w:rsidR="001C3DAA" w:rsidRPr="008C1E28" w:rsidSect="001C3DAA">
      <w:headerReference w:type="even" r:id="rId9"/>
      <w:headerReference w:type="default" r:id="rId10"/>
      <w:footerReference w:type="default" r:id="rId11"/>
      <w:pgSz w:w="11910" w:h="16840"/>
      <w:pgMar w:top="-675" w:right="601" w:bottom="278" w:left="499" w:header="23" w:footer="4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577BD" w14:textId="77777777" w:rsidR="005E435A" w:rsidRDefault="005E435A" w:rsidP="00EE2668">
      <w:r>
        <w:separator/>
      </w:r>
    </w:p>
  </w:endnote>
  <w:endnote w:type="continuationSeparator" w:id="0">
    <w:p w14:paraId="24D4EDF3" w14:textId="77777777" w:rsidR="005E435A" w:rsidRDefault="005E435A" w:rsidP="00E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F8E91" w14:textId="5E5DF23F" w:rsidR="001C3DAA" w:rsidRDefault="001C3DAA" w:rsidP="001C3DAA">
    <w:pPr>
      <w:pStyle w:val="Header"/>
    </w:pPr>
    <w:r w:rsidRPr="00EE2668">
      <w:rPr>
        <w:rFonts w:ascii="Helvetica" w:hAnsi="Helvetica"/>
        <w:sz w:val="16"/>
        <w:szCs w:val="16"/>
      </w:rPr>
      <w:t xml:space="preserve">Finance Committee </w:t>
    </w:r>
    <w:r>
      <w:rPr>
        <w:rFonts w:ascii="Helvetica" w:hAnsi="Helvetica"/>
        <w:sz w:val="16"/>
        <w:szCs w:val="16"/>
      </w:rPr>
      <w:t xml:space="preserve">Meeting Minutes </w:t>
    </w:r>
    <w:r w:rsidR="00A31F74">
      <w:rPr>
        <w:rFonts w:ascii="Helvetica" w:hAnsi="Helvetica"/>
        <w:sz w:val="16"/>
        <w:szCs w:val="16"/>
      </w:rPr>
      <w:t>Ju</w:t>
    </w:r>
    <w:r w:rsidR="008C1E28">
      <w:rPr>
        <w:rFonts w:ascii="Helvetica" w:hAnsi="Helvetica"/>
        <w:sz w:val="16"/>
        <w:szCs w:val="16"/>
      </w:rPr>
      <w:t>ly</w:t>
    </w:r>
    <w:r w:rsidR="00A31F74">
      <w:rPr>
        <w:rFonts w:ascii="Helvetica" w:hAnsi="Helvetica"/>
        <w:sz w:val="16"/>
        <w:szCs w:val="16"/>
      </w:rPr>
      <w:t xml:space="preserve"> </w:t>
    </w:r>
    <w:r>
      <w:rPr>
        <w:rFonts w:ascii="Helvetica" w:hAnsi="Helvetica"/>
        <w:sz w:val="16"/>
        <w:szCs w:val="16"/>
      </w:rPr>
      <w:t>2024</w:t>
    </w:r>
    <w:r w:rsidRPr="00EE2668">
      <w:rPr>
        <w:rFonts w:ascii="Helvetica" w:hAnsi="Helvetica"/>
        <w:sz w:val="16"/>
        <w:szCs w:val="16"/>
      </w:rPr>
      <w:t xml:space="preserve"> – created </w:t>
    </w:r>
    <w:r w:rsidR="008C1E28">
      <w:rPr>
        <w:rFonts w:ascii="Helvetica" w:hAnsi="Helvetica"/>
        <w:sz w:val="16"/>
        <w:szCs w:val="16"/>
      </w:rPr>
      <w:t>18/07</w:t>
    </w:r>
    <w:r>
      <w:rPr>
        <w:rFonts w:ascii="Helvetica" w:hAnsi="Helvetica"/>
        <w:sz w:val="16"/>
        <w:szCs w:val="16"/>
      </w:rPr>
      <w:t>/2024</w:t>
    </w:r>
  </w:p>
  <w:p w14:paraId="07D60D44" w14:textId="7BF8D45B" w:rsidR="00EE2668" w:rsidRPr="00984FED" w:rsidRDefault="00EE2668" w:rsidP="00984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04843" w14:textId="77777777" w:rsidR="005E435A" w:rsidRDefault="005E435A" w:rsidP="00EE2668">
      <w:r>
        <w:separator/>
      </w:r>
    </w:p>
  </w:footnote>
  <w:footnote w:type="continuationSeparator" w:id="0">
    <w:p w14:paraId="2B0BC482" w14:textId="77777777" w:rsidR="005E435A" w:rsidRDefault="005E435A" w:rsidP="00EE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45279437"/>
      <w:docPartObj>
        <w:docPartGallery w:val="Page Numbers (Top of Page)"/>
        <w:docPartUnique/>
      </w:docPartObj>
    </w:sdtPr>
    <w:sdtContent>
      <w:p w14:paraId="5D53FCA0" w14:textId="3CE3E141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EAC473" w14:textId="77777777" w:rsidR="00EE2668" w:rsidRDefault="00EE2668" w:rsidP="00EE26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15593427"/>
      <w:docPartObj>
        <w:docPartGallery w:val="Page Numbers (Top of Page)"/>
        <w:docPartUnique/>
      </w:docPartObj>
    </w:sdtPr>
    <w:sdtContent>
      <w:p w14:paraId="299B094B" w14:textId="11F53E32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D2880A2" w14:textId="77777777" w:rsidR="00A21727" w:rsidRDefault="00A21727" w:rsidP="00EE2668">
    <w:pPr>
      <w:pStyle w:val="Header"/>
      <w:ind w:right="360"/>
      <w:rPr>
        <w:rFonts w:ascii="Helvetica" w:hAnsi="Helvetica"/>
        <w:sz w:val="16"/>
        <w:szCs w:val="16"/>
      </w:rPr>
    </w:pPr>
  </w:p>
  <w:p w14:paraId="29B9BD45" w14:textId="44792C46" w:rsidR="00EE2668" w:rsidRDefault="00CE3E1F">
    <w:pPr>
      <w:pStyle w:val="Header"/>
    </w:pPr>
    <w:r w:rsidRPr="00EE2668">
      <w:rPr>
        <w:rFonts w:ascii="Helvetica" w:hAnsi="Helvetica"/>
        <w:sz w:val="16"/>
        <w:szCs w:val="16"/>
      </w:rPr>
      <w:t xml:space="preserve">Finance Committee </w:t>
    </w:r>
    <w:r w:rsidR="001C3DAA">
      <w:rPr>
        <w:rFonts w:ascii="Helvetica" w:hAnsi="Helvetica"/>
        <w:sz w:val="16"/>
        <w:szCs w:val="16"/>
      </w:rPr>
      <w:t>Meeting Minutes</w:t>
    </w:r>
    <w:r>
      <w:rPr>
        <w:rFonts w:ascii="Helvetica" w:hAnsi="Helvetica"/>
        <w:sz w:val="16"/>
        <w:szCs w:val="16"/>
      </w:rPr>
      <w:t xml:space="preserve"> </w:t>
    </w:r>
    <w:r w:rsidR="00604222">
      <w:rPr>
        <w:rFonts w:ascii="Helvetica" w:hAnsi="Helvetica"/>
        <w:sz w:val="16"/>
        <w:szCs w:val="16"/>
      </w:rPr>
      <w:t>Ju</w:t>
    </w:r>
    <w:r w:rsidR="008C1E28">
      <w:rPr>
        <w:rFonts w:ascii="Helvetica" w:hAnsi="Helvetica"/>
        <w:sz w:val="16"/>
        <w:szCs w:val="16"/>
      </w:rPr>
      <w:t>ly</w:t>
    </w:r>
    <w:r w:rsidR="00604222">
      <w:rPr>
        <w:rFonts w:ascii="Helvetica" w:hAnsi="Helvetica"/>
        <w:sz w:val="16"/>
        <w:szCs w:val="16"/>
      </w:rPr>
      <w:t xml:space="preserve"> </w:t>
    </w:r>
    <w:r>
      <w:rPr>
        <w:rFonts w:ascii="Helvetica" w:hAnsi="Helvetica"/>
        <w:sz w:val="16"/>
        <w:szCs w:val="16"/>
      </w:rPr>
      <w:t>2024</w:t>
    </w:r>
    <w:r w:rsidRPr="00EE2668">
      <w:rPr>
        <w:rFonts w:ascii="Helvetica" w:hAnsi="Helvetica"/>
        <w:sz w:val="16"/>
        <w:szCs w:val="16"/>
      </w:rPr>
      <w:t xml:space="preserve"> – created </w:t>
    </w:r>
    <w:r w:rsidR="00604222">
      <w:rPr>
        <w:rFonts w:ascii="Helvetica" w:hAnsi="Helvetica"/>
        <w:sz w:val="16"/>
        <w:szCs w:val="16"/>
      </w:rPr>
      <w:t>1</w:t>
    </w:r>
    <w:r w:rsidR="008C1E28">
      <w:rPr>
        <w:rFonts w:ascii="Helvetica" w:hAnsi="Helvetica"/>
        <w:sz w:val="16"/>
        <w:szCs w:val="16"/>
      </w:rPr>
      <w:t>8</w:t>
    </w:r>
    <w:r w:rsidR="00604222">
      <w:rPr>
        <w:rFonts w:ascii="Helvetica" w:hAnsi="Helvetica"/>
        <w:sz w:val="16"/>
        <w:szCs w:val="16"/>
      </w:rPr>
      <w:t>/0</w:t>
    </w:r>
    <w:r w:rsidR="008C1E28">
      <w:rPr>
        <w:rFonts w:ascii="Helvetica" w:hAnsi="Helvetica"/>
        <w:sz w:val="16"/>
        <w:szCs w:val="16"/>
      </w:rPr>
      <w:t>7</w:t>
    </w:r>
    <w:r w:rsidR="001C3DAA">
      <w:rPr>
        <w:rFonts w:ascii="Helvetica" w:hAnsi="Helvetica"/>
        <w:sz w:val="16"/>
        <w:szCs w:val="16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2D0A"/>
    <w:multiLevelType w:val="hybridMultilevel"/>
    <w:tmpl w:val="33802302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3987DF9"/>
    <w:multiLevelType w:val="hybridMultilevel"/>
    <w:tmpl w:val="15B8B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00E52"/>
    <w:multiLevelType w:val="hybridMultilevel"/>
    <w:tmpl w:val="0666C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F5F0C"/>
    <w:multiLevelType w:val="hybridMultilevel"/>
    <w:tmpl w:val="535C4D62"/>
    <w:lvl w:ilvl="0" w:tplc="0809000F">
      <w:start w:val="1"/>
      <w:numFmt w:val="decimal"/>
      <w:lvlText w:val="%1."/>
      <w:lvlJc w:val="left"/>
      <w:pPr>
        <w:ind w:left="1658" w:hanging="360"/>
      </w:pPr>
    </w:lvl>
    <w:lvl w:ilvl="1" w:tplc="08090019" w:tentative="1">
      <w:start w:val="1"/>
      <w:numFmt w:val="lowerLetter"/>
      <w:lvlText w:val="%2."/>
      <w:lvlJc w:val="left"/>
      <w:pPr>
        <w:ind w:left="2378" w:hanging="360"/>
      </w:pPr>
    </w:lvl>
    <w:lvl w:ilvl="2" w:tplc="0809001B" w:tentative="1">
      <w:start w:val="1"/>
      <w:numFmt w:val="lowerRoman"/>
      <w:lvlText w:val="%3."/>
      <w:lvlJc w:val="right"/>
      <w:pPr>
        <w:ind w:left="3098" w:hanging="180"/>
      </w:pPr>
    </w:lvl>
    <w:lvl w:ilvl="3" w:tplc="0809000F" w:tentative="1">
      <w:start w:val="1"/>
      <w:numFmt w:val="decimal"/>
      <w:lvlText w:val="%4."/>
      <w:lvlJc w:val="left"/>
      <w:pPr>
        <w:ind w:left="3818" w:hanging="360"/>
      </w:pPr>
    </w:lvl>
    <w:lvl w:ilvl="4" w:tplc="08090019" w:tentative="1">
      <w:start w:val="1"/>
      <w:numFmt w:val="lowerLetter"/>
      <w:lvlText w:val="%5."/>
      <w:lvlJc w:val="left"/>
      <w:pPr>
        <w:ind w:left="4538" w:hanging="360"/>
      </w:pPr>
    </w:lvl>
    <w:lvl w:ilvl="5" w:tplc="0809001B" w:tentative="1">
      <w:start w:val="1"/>
      <w:numFmt w:val="lowerRoman"/>
      <w:lvlText w:val="%6."/>
      <w:lvlJc w:val="right"/>
      <w:pPr>
        <w:ind w:left="5258" w:hanging="180"/>
      </w:pPr>
    </w:lvl>
    <w:lvl w:ilvl="6" w:tplc="0809000F" w:tentative="1">
      <w:start w:val="1"/>
      <w:numFmt w:val="decimal"/>
      <w:lvlText w:val="%7."/>
      <w:lvlJc w:val="left"/>
      <w:pPr>
        <w:ind w:left="5978" w:hanging="360"/>
      </w:pPr>
    </w:lvl>
    <w:lvl w:ilvl="7" w:tplc="08090019" w:tentative="1">
      <w:start w:val="1"/>
      <w:numFmt w:val="lowerLetter"/>
      <w:lvlText w:val="%8."/>
      <w:lvlJc w:val="left"/>
      <w:pPr>
        <w:ind w:left="6698" w:hanging="360"/>
      </w:pPr>
    </w:lvl>
    <w:lvl w:ilvl="8" w:tplc="08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4" w15:restartNumberingAfterBreak="0">
    <w:nsid w:val="1BA0026F"/>
    <w:multiLevelType w:val="hybridMultilevel"/>
    <w:tmpl w:val="FC5CD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26249"/>
    <w:multiLevelType w:val="hybridMultilevel"/>
    <w:tmpl w:val="96DAD6B4"/>
    <w:lvl w:ilvl="0" w:tplc="6E74E292">
      <w:start w:val="1"/>
      <w:numFmt w:val="decimal"/>
      <w:lvlText w:val="%1."/>
      <w:lvlJc w:val="left"/>
      <w:pPr>
        <w:ind w:left="938" w:hanging="709"/>
      </w:pPr>
      <w:rPr>
        <w:rFonts w:ascii="Helvetica" w:eastAsia="Helvetica" w:hAnsi="Helvetica" w:cs="Helvetica" w:hint="default"/>
        <w:b/>
        <w:bCs/>
        <w:spacing w:val="0"/>
        <w:w w:val="102"/>
        <w:sz w:val="21"/>
        <w:szCs w:val="21"/>
      </w:rPr>
    </w:lvl>
    <w:lvl w:ilvl="1" w:tplc="BE0A0C46">
      <w:numFmt w:val="bullet"/>
      <w:lvlText w:val="•"/>
      <w:lvlJc w:val="left"/>
      <w:pPr>
        <w:ind w:left="1926" w:hanging="709"/>
      </w:pPr>
      <w:rPr>
        <w:rFonts w:hint="default"/>
      </w:rPr>
    </w:lvl>
    <w:lvl w:ilvl="2" w:tplc="174ADA0A">
      <w:numFmt w:val="bullet"/>
      <w:lvlText w:val="•"/>
      <w:lvlJc w:val="left"/>
      <w:pPr>
        <w:ind w:left="2913" w:hanging="709"/>
      </w:pPr>
      <w:rPr>
        <w:rFonts w:hint="default"/>
      </w:rPr>
    </w:lvl>
    <w:lvl w:ilvl="3" w:tplc="6A080FD0">
      <w:numFmt w:val="bullet"/>
      <w:lvlText w:val="•"/>
      <w:lvlJc w:val="left"/>
      <w:pPr>
        <w:ind w:left="3899" w:hanging="709"/>
      </w:pPr>
      <w:rPr>
        <w:rFonts w:hint="default"/>
      </w:rPr>
    </w:lvl>
    <w:lvl w:ilvl="4" w:tplc="FBC8D61C">
      <w:numFmt w:val="bullet"/>
      <w:lvlText w:val="•"/>
      <w:lvlJc w:val="left"/>
      <w:pPr>
        <w:ind w:left="4886" w:hanging="709"/>
      </w:pPr>
      <w:rPr>
        <w:rFonts w:hint="default"/>
      </w:rPr>
    </w:lvl>
    <w:lvl w:ilvl="5" w:tplc="973084EA">
      <w:numFmt w:val="bullet"/>
      <w:lvlText w:val="•"/>
      <w:lvlJc w:val="left"/>
      <w:pPr>
        <w:ind w:left="5872" w:hanging="709"/>
      </w:pPr>
      <w:rPr>
        <w:rFonts w:hint="default"/>
      </w:rPr>
    </w:lvl>
    <w:lvl w:ilvl="6" w:tplc="660A2A9A">
      <w:numFmt w:val="bullet"/>
      <w:lvlText w:val="•"/>
      <w:lvlJc w:val="left"/>
      <w:pPr>
        <w:ind w:left="6859" w:hanging="709"/>
      </w:pPr>
      <w:rPr>
        <w:rFonts w:hint="default"/>
      </w:rPr>
    </w:lvl>
    <w:lvl w:ilvl="7" w:tplc="A552D984">
      <w:numFmt w:val="bullet"/>
      <w:lvlText w:val="•"/>
      <w:lvlJc w:val="left"/>
      <w:pPr>
        <w:ind w:left="7845" w:hanging="709"/>
      </w:pPr>
      <w:rPr>
        <w:rFonts w:hint="default"/>
      </w:rPr>
    </w:lvl>
    <w:lvl w:ilvl="8" w:tplc="5C524B74">
      <w:numFmt w:val="bullet"/>
      <w:lvlText w:val="•"/>
      <w:lvlJc w:val="left"/>
      <w:pPr>
        <w:ind w:left="8832" w:hanging="709"/>
      </w:pPr>
      <w:rPr>
        <w:rFonts w:hint="default"/>
      </w:rPr>
    </w:lvl>
  </w:abstractNum>
  <w:abstractNum w:abstractNumId="6" w15:restartNumberingAfterBreak="0">
    <w:nsid w:val="3B270BF6"/>
    <w:multiLevelType w:val="hybridMultilevel"/>
    <w:tmpl w:val="F08E4022"/>
    <w:lvl w:ilvl="0" w:tplc="D32AA748">
      <w:start w:val="1"/>
      <w:numFmt w:val="upperLetter"/>
      <w:lvlText w:val="%1."/>
      <w:lvlJc w:val="left"/>
      <w:pPr>
        <w:ind w:left="5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9" w:hanging="360"/>
      </w:pPr>
    </w:lvl>
    <w:lvl w:ilvl="2" w:tplc="0809001B" w:tentative="1">
      <w:start w:val="1"/>
      <w:numFmt w:val="lowerRoman"/>
      <w:lvlText w:val="%3."/>
      <w:lvlJc w:val="right"/>
      <w:pPr>
        <w:ind w:left="2029" w:hanging="180"/>
      </w:pPr>
    </w:lvl>
    <w:lvl w:ilvl="3" w:tplc="0809000F" w:tentative="1">
      <w:start w:val="1"/>
      <w:numFmt w:val="decimal"/>
      <w:lvlText w:val="%4."/>
      <w:lvlJc w:val="left"/>
      <w:pPr>
        <w:ind w:left="2749" w:hanging="360"/>
      </w:pPr>
    </w:lvl>
    <w:lvl w:ilvl="4" w:tplc="08090019" w:tentative="1">
      <w:start w:val="1"/>
      <w:numFmt w:val="lowerLetter"/>
      <w:lvlText w:val="%5."/>
      <w:lvlJc w:val="left"/>
      <w:pPr>
        <w:ind w:left="3469" w:hanging="360"/>
      </w:pPr>
    </w:lvl>
    <w:lvl w:ilvl="5" w:tplc="0809001B" w:tentative="1">
      <w:start w:val="1"/>
      <w:numFmt w:val="lowerRoman"/>
      <w:lvlText w:val="%6."/>
      <w:lvlJc w:val="right"/>
      <w:pPr>
        <w:ind w:left="4189" w:hanging="180"/>
      </w:pPr>
    </w:lvl>
    <w:lvl w:ilvl="6" w:tplc="0809000F" w:tentative="1">
      <w:start w:val="1"/>
      <w:numFmt w:val="decimal"/>
      <w:lvlText w:val="%7."/>
      <w:lvlJc w:val="left"/>
      <w:pPr>
        <w:ind w:left="4909" w:hanging="360"/>
      </w:pPr>
    </w:lvl>
    <w:lvl w:ilvl="7" w:tplc="08090019" w:tentative="1">
      <w:start w:val="1"/>
      <w:numFmt w:val="lowerLetter"/>
      <w:lvlText w:val="%8."/>
      <w:lvlJc w:val="left"/>
      <w:pPr>
        <w:ind w:left="5629" w:hanging="360"/>
      </w:pPr>
    </w:lvl>
    <w:lvl w:ilvl="8" w:tplc="08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7" w15:restartNumberingAfterBreak="0">
    <w:nsid w:val="40374326"/>
    <w:multiLevelType w:val="hybridMultilevel"/>
    <w:tmpl w:val="9CF26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130569">
    <w:abstractNumId w:val="5"/>
  </w:num>
  <w:num w:numId="2" w16cid:durableId="464812610">
    <w:abstractNumId w:val="0"/>
  </w:num>
  <w:num w:numId="3" w16cid:durableId="625890905">
    <w:abstractNumId w:val="6"/>
  </w:num>
  <w:num w:numId="4" w16cid:durableId="1679386654">
    <w:abstractNumId w:val="3"/>
  </w:num>
  <w:num w:numId="5" w16cid:durableId="1921796106">
    <w:abstractNumId w:val="4"/>
  </w:num>
  <w:num w:numId="6" w16cid:durableId="1826818113">
    <w:abstractNumId w:val="1"/>
  </w:num>
  <w:num w:numId="7" w16cid:durableId="1137409160">
    <w:abstractNumId w:val="7"/>
  </w:num>
  <w:num w:numId="8" w16cid:durableId="1523082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1"/>
    <w:rsid w:val="00013F33"/>
    <w:rsid w:val="00016898"/>
    <w:rsid w:val="000217C9"/>
    <w:rsid w:val="00026B93"/>
    <w:rsid w:val="00037A1A"/>
    <w:rsid w:val="00040D61"/>
    <w:rsid w:val="00046021"/>
    <w:rsid w:val="00046AAF"/>
    <w:rsid w:val="0005413E"/>
    <w:rsid w:val="00074B6A"/>
    <w:rsid w:val="0008142C"/>
    <w:rsid w:val="00083595"/>
    <w:rsid w:val="000849B5"/>
    <w:rsid w:val="00085B74"/>
    <w:rsid w:val="00093241"/>
    <w:rsid w:val="000938F5"/>
    <w:rsid w:val="00097E94"/>
    <w:rsid w:val="000A21B0"/>
    <w:rsid w:val="000A318E"/>
    <w:rsid w:val="000C1828"/>
    <w:rsid w:val="000C2248"/>
    <w:rsid w:val="000C243B"/>
    <w:rsid w:val="000C3A70"/>
    <w:rsid w:val="000D0958"/>
    <w:rsid w:val="000D4951"/>
    <w:rsid w:val="000D5521"/>
    <w:rsid w:val="000D6386"/>
    <w:rsid w:val="000D70B8"/>
    <w:rsid w:val="000E0EA8"/>
    <w:rsid w:val="000E239B"/>
    <w:rsid w:val="0010049E"/>
    <w:rsid w:val="001020B1"/>
    <w:rsid w:val="001026EF"/>
    <w:rsid w:val="001118A4"/>
    <w:rsid w:val="00112679"/>
    <w:rsid w:val="00117EBD"/>
    <w:rsid w:val="00124B06"/>
    <w:rsid w:val="00125FB4"/>
    <w:rsid w:val="00127FA2"/>
    <w:rsid w:val="001307F7"/>
    <w:rsid w:val="00141A73"/>
    <w:rsid w:val="001473BC"/>
    <w:rsid w:val="00153929"/>
    <w:rsid w:val="001652CE"/>
    <w:rsid w:val="001661F3"/>
    <w:rsid w:val="00182F30"/>
    <w:rsid w:val="00190F6C"/>
    <w:rsid w:val="0019231F"/>
    <w:rsid w:val="0019363B"/>
    <w:rsid w:val="001A36AB"/>
    <w:rsid w:val="001B2409"/>
    <w:rsid w:val="001B3A35"/>
    <w:rsid w:val="001B6467"/>
    <w:rsid w:val="001C3DAA"/>
    <w:rsid w:val="001C654F"/>
    <w:rsid w:val="001D6FC3"/>
    <w:rsid w:val="001E2848"/>
    <w:rsid w:val="001F1968"/>
    <w:rsid w:val="001F2F7D"/>
    <w:rsid w:val="001F5687"/>
    <w:rsid w:val="001F6C07"/>
    <w:rsid w:val="00200212"/>
    <w:rsid w:val="002038D3"/>
    <w:rsid w:val="00204D3B"/>
    <w:rsid w:val="00206D87"/>
    <w:rsid w:val="00211F48"/>
    <w:rsid w:val="002159B8"/>
    <w:rsid w:val="002233DA"/>
    <w:rsid w:val="002405AC"/>
    <w:rsid w:val="002417E2"/>
    <w:rsid w:val="00246E66"/>
    <w:rsid w:val="00267D12"/>
    <w:rsid w:val="0027229A"/>
    <w:rsid w:val="00276303"/>
    <w:rsid w:val="002878A2"/>
    <w:rsid w:val="00290767"/>
    <w:rsid w:val="00294047"/>
    <w:rsid w:val="002966E9"/>
    <w:rsid w:val="002A7704"/>
    <w:rsid w:val="002B07D8"/>
    <w:rsid w:val="002B0B11"/>
    <w:rsid w:val="002F0319"/>
    <w:rsid w:val="002F0A32"/>
    <w:rsid w:val="00305AD0"/>
    <w:rsid w:val="00305E43"/>
    <w:rsid w:val="00321F64"/>
    <w:rsid w:val="00324763"/>
    <w:rsid w:val="0033726F"/>
    <w:rsid w:val="0034745D"/>
    <w:rsid w:val="00363491"/>
    <w:rsid w:val="00364C34"/>
    <w:rsid w:val="00366601"/>
    <w:rsid w:val="00373AC4"/>
    <w:rsid w:val="00385F85"/>
    <w:rsid w:val="003865D5"/>
    <w:rsid w:val="00393DB7"/>
    <w:rsid w:val="003A321B"/>
    <w:rsid w:val="003B4EEA"/>
    <w:rsid w:val="003B5927"/>
    <w:rsid w:val="003C0CD5"/>
    <w:rsid w:val="003D5403"/>
    <w:rsid w:val="003F28F6"/>
    <w:rsid w:val="003F6C20"/>
    <w:rsid w:val="00401744"/>
    <w:rsid w:val="00402761"/>
    <w:rsid w:val="00407801"/>
    <w:rsid w:val="00416D77"/>
    <w:rsid w:val="0042564E"/>
    <w:rsid w:val="00435A30"/>
    <w:rsid w:val="004556AD"/>
    <w:rsid w:val="00455DDE"/>
    <w:rsid w:val="004606D5"/>
    <w:rsid w:val="00465613"/>
    <w:rsid w:val="004927CB"/>
    <w:rsid w:val="0049415A"/>
    <w:rsid w:val="004A37E3"/>
    <w:rsid w:val="004B240B"/>
    <w:rsid w:val="004C5F8C"/>
    <w:rsid w:val="004C5FC3"/>
    <w:rsid w:val="004C647C"/>
    <w:rsid w:val="004F3CB2"/>
    <w:rsid w:val="004F7954"/>
    <w:rsid w:val="00510037"/>
    <w:rsid w:val="005110C3"/>
    <w:rsid w:val="00513167"/>
    <w:rsid w:val="0051706D"/>
    <w:rsid w:val="005211EA"/>
    <w:rsid w:val="00521576"/>
    <w:rsid w:val="005269ED"/>
    <w:rsid w:val="00532095"/>
    <w:rsid w:val="005368EF"/>
    <w:rsid w:val="00536DA9"/>
    <w:rsid w:val="0054416D"/>
    <w:rsid w:val="005507CA"/>
    <w:rsid w:val="00550973"/>
    <w:rsid w:val="00553965"/>
    <w:rsid w:val="00554106"/>
    <w:rsid w:val="00563BA8"/>
    <w:rsid w:val="00564A47"/>
    <w:rsid w:val="00567F12"/>
    <w:rsid w:val="00576E84"/>
    <w:rsid w:val="005851DA"/>
    <w:rsid w:val="00586D9C"/>
    <w:rsid w:val="00593DF8"/>
    <w:rsid w:val="005A1684"/>
    <w:rsid w:val="005A5A53"/>
    <w:rsid w:val="005B16A2"/>
    <w:rsid w:val="005B2F1C"/>
    <w:rsid w:val="005B5BB6"/>
    <w:rsid w:val="005B70B7"/>
    <w:rsid w:val="005C374C"/>
    <w:rsid w:val="005C37CB"/>
    <w:rsid w:val="005D5E6F"/>
    <w:rsid w:val="005E435A"/>
    <w:rsid w:val="005E4F3A"/>
    <w:rsid w:val="005F2188"/>
    <w:rsid w:val="005F63A7"/>
    <w:rsid w:val="005F79EB"/>
    <w:rsid w:val="00604222"/>
    <w:rsid w:val="00612431"/>
    <w:rsid w:val="00614265"/>
    <w:rsid w:val="006157D6"/>
    <w:rsid w:val="00623564"/>
    <w:rsid w:val="00661D09"/>
    <w:rsid w:val="00662415"/>
    <w:rsid w:val="006657F3"/>
    <w:rsid w:val="006672D5"/>
    <w:rsid w:val="00675DEC"/>
    <w:rsid w:val="006761B1"/>
    <w:rsid w:val="006826CE"/>
    <w:rsid w:val="00683053"/>
    <w:rsid w:val="0068330C"/>
    <w:rsid w:val="00691767"/>
    <w:rsid w:val="006A1197"/>
    <w:rsid w:val="006A37C4"/>
    <w:rsid w:val="006A5853"/>
    <w:rsid w:val="006A70AC"/>
    <w:rsid w:val="006A75E8"/>
    <w:rsid w:val="006D44C0"/>
    <w:rsid w:val="00710DBE"/>
    <w:rsid w:val="00711942"/>
    <w:rsid w:val="007167A0"/>
    <w:rsid w:val="00724281"/>
    <w:rsid w:val="00727395"/>
    <w:rsid w:val="0073184D"/>
    <w:rsid w:val="007645FF"/>
    <w:rsid w:val="00775224"/>
    <w:rsid w:val="007871C6"/>
    <w:rsid w:val="00787B96"/>
    <w:rsid w:val="00792A8B"/>
    <w:rsid w:val="00796258"/>
    <w:rsid w:val="007C67DD"/>
    <w:rsid w:val="007C7A17"/>
    <w:rsid w:val="007E3C6D"/>
    <w:rsid w:val="007F64D8"/>
    <w:rsid w:val="007F7EC2"/>
    <w:rsid w:val="0080217D"/>
    <w:rsid w:val="0080323B"/>
    <w:rsid w:val="00813BA9"/>
    <w:rsid w:val="0082523B"/>
    <w:rsid w:val="00832D9B"/>
    <w:rsid w:val="008364BD"/>
    <w:rsid w:val="0085407E"/>
    <w:rsid w:val="00854ECF"/>
    <w:rsid w:val="0086508C"/>
    <w:rsid w:val="00866AA9"/>
    <w:rsid w:val="00867BB1"/>
    <w:rsid w:val="0087730A"/>
    <w:rsid w:val="0088210F"/>
    <w:rsid w:val="008905F9"/>
    <w:rsid w:val="00891AE1"/>
    <w:rsid w:val="008B1BA1"/>
    <w:rsid w:val="008C1E28"/>
    <w:rsid w:val="008D3574"/>
    <w:rsid w:val="008D498F"/>
    <w:rsid w:val="008E0C5E"/>
    <w:rsid w:val="008E42FB"/>
    <w:rsid w:val="008E7661"/>
    <w:rsid w:val="00903D9A"/>
    <w:rsid w:val="00903FC2"/>
    <w:rsid w:val="0091378C"/>
    <w:rsid w:val="009408F4"/>
    <w:rsid w:val="00943B03"/>
    <w:rsid w:val="00947CDF"/>
    <w:rsid w:val="009529D4"/>
    <w:rsid w:val="00960CDF"/>
    <w:rsid w:val="00963041"/>
    <w:rsid w:val="009718DE"/>
    <w:rsid w:val="00984FED"/>
    <w:rsid w:val="009A31DC"/>
    <w:rsid w:val="009A4C8E"/>
    <w:rsid w:val="009C3A91"/>
    <w:rsid w:val="009C74B4"/>
    <w:rsid w:val="009D35F6"/>
    <w:rsid w:val="009D6BA5"/>
    <w:rsid w:val="009F3038"/>
    <w:rsid w:val="009F4D66"/>
    <w:rsid w:val="00A00C5A"/>
    <w:rsid w:val="00A02CA5"/>
    <w:rsid w:val="00A1019A"/>
    <w:rsid w:val="00A13B9A"/>
    <w:rsid w:val="00A1553D"/>
    <w:rsid w:val="00A212DB"/>
    <w:rsid w:val="00A21727"/>
    <w:rsid w:val="00A24280"/>
    <w:rsid w:val="00A25ADA"/>
    <w:rsid w:val="00A318EE"/>
    <w:rsid w:val="00A31F74"/>
    <w:rsid w:val="00A44FAD"/>
    <w:rsid w:val="00A47593"/>
    <w:rsid w:val="00A477E6"/>
    <w:rsid w:val="00A50948"/>
    <w:rsid w:val="00A57A86"/>
    <w:rsid w:val="00A6351B"/>
    <w:rsid w:val="00A64A78"/>
    <w:rsid w:val="00A670DF"/>
    <w:rsid w:val="00A7785D"/>
    <w:rsid w:val="00A81262"/>
    <w:rsid w:val="00A96575"/>
    <w:rsid w:val="00AA37DA"/>
    <w:rsid w:val="00AB031B"/>
    <w:rsid w:val="00AC4D83"/>
    <w:rsid w:val="00AC6F47"/>
    <w:rsid w:val="00AD7692"/>
    <w:rsid w:val="00AE3423"/>
    <w:rsid w:val="00AE5F84"/>
    <w:rsid w:val="00AF0CCB"/>
    <w:rsid w:val="00AF4413"/>
    <w:rsid w:val="00AF4986"/>
    <w:rsid w:val="00B00158"/>
    <w:rsid w:val="00B04181"/>
    <w:rsid w:val="00B3090F"/>
    <w:rsid w:val="00B37C99"/>
    <w:rsid w:val="00B41784"/>
    <w:rsid w:val="00B51C47"/>
    <w:rsid w:val="00B52566"/>
    <w:rsid w:val="00B56B58"/>
    <w:rsid w:val="00B67920"/>
    <w:rsid w:val="00B81A54"/>
    <w:rsid w:val="00B86427"/>
    <w:rsid w:val="00B86580"/>
    <w:rsid w:val="00BA0543"/>
    <w:rsid w:val="00BB3361"/>
    <w:rsid w:val="00BB6DB3"/>
    <w:rsid w:val="00BB7F06"/>
    <w:rsid w:val="00BC5E1B"/>
    <w:rsid w:val="00BD464E"/>
    <w:rsid w:val="00BE386E"/>
    <w:rsid w:val="00BE43ED"/>
    <w:rsid w:val="00BE494B"/>
    <w:rsid w:val="00BE5B4B"/>
    <w:rsid w:val="00BF5516"/>
    <w:rsid w:val="00C006E0"/>
    <w:rsid w:val="00C03C14"/>
    <w:rsid w:val="00C04302"/>
    <w:rsid w:val="00C11DDC"/>
    <w:rsid w:val="00C13366"/>
    <w:rsid w:val="00C2134C"/>
    <w:rsid w:val="00C46573"/>
    <w:rsid w:val="00C4768E"/>
    <w:rsid w:val="00C5226D"/>
    <w:rsid w:val="00C565DA"/>
    <w:rsid w:val="00C60091"/>
    <w:rsid w:val="00C679C9"/>
    <w:rsid w:val="00C77799"/>
    <w:rsid w:val="00C77ED9"/>
    <w:rsid w:val="00C83182"/>
    <w:rsid w:val="00C90B13"/>
    <w:rsid w:val="00C95689"/>
    <w:rsid w:val="00CB0B42"/>
    <w:rsid w:val="00CB22CA"/>
    <w:rsid w:val="00CB4C52"/>
    <w:rsid w:val="00CB6F99"/>
    <w:rsid w:val="00CC4CDF"/>
    <w:rsid w:val="00CC569B"/>
    <w:rsid w:val="00CC794F"/>
    <w:rsid w:val="00CD4A3B"/>
    <w:rsid w:val="00CE3E1F"/>
    <w:rsid w:val="00D24B57"/>
    <w:rsid w:val="00D33722"/>
    <w:rsid w:val="00D33DDB"/>
    <w:rsid w:val="00D37006"/>
    <w:rsid w:val="00D4358B"/>
    <w:rsid w:val="00D456EC"/>
    <w:rsid w:val="00D51F43"/>
    <w:rsid w:val="00D52977"/>
    <w:rsid w:val="00D529BF"/>
    <w:rsid w:val="00D610D3"/>
    <w:rsid w:val="00D64646"/>
    <w:rsid w:val="00D715E3"/>
    <w:rsid w:val="00D72162"/>
    <w:rsid w:val="00D73C3E"/>
    <w:rsid w:val="00D822CD"/>
    <w:rsid w:val="00D90F9C"/>
    <w:rsid w:val="00DA5C56"/>
    <w:rsid w:val="00DC1C42"/>
    <w:rsid w:val="00DC1D52"/>
    <w:rsid w:val="00DD485F"/>
    <w:rsid w:val="00DD5622"/>
    <w:rsid w:val="00DE7240"/>
    <w:rsid w:val="00E00F01"/>
    <w:rsid w:val="00E11FE1"/>
    <w:rsid w:val="00E1403B"/>
    <w:rsid w:val="00E14462"/>
    <w:rsid w:val="00E25F71"/>
    <w:rsid w:val="00E31D36"/>
    <w:rsid w:val="00E35496"/>
    <w:rsid w:val="00E35F68"/>
    <w:rsid w:val="00E37BC3"/>
    <w:rsid w:val="00E44112"/>
    <w:rsid w:val="00E45BC5"/>
    <w:rsid w:val="00E53336"/>
    <w:rsid w:val="00E655C2"/>
    <w:rsid w:val="00E67D9E"/>
    <w:rsid w:val="00E747BA"/>
    <w:rsid w:val="00E74AC0"/>
    <w:rsid w:val="00E83244"/>
    <w:rsid w:val="00E85196"/>
    <w:rsid w:val="00EA08EF"/>
    <w:rsid w:val="00EA3E0D"/>
    <w:rsid w:val="00EB233B"/>
    <w:rsid w:val="00EB478A"/>
    <w:rsid w:val="00EC0895"/>
    <w:rsid w:val="00ED30C9"/>
    <w:rsid w:val="00EE2668"/>
    <w:rsid w:val="00F112EF"/>
    <w:rsid w:val="00F27ADF"/>
    <w:rsid w:val="00F30350"/>
    <w:rsid w:val="00F376EA"/>
    <w:rsid w:val="00F62149"/>
    <w:rsid w:val="00F6546F"/>
    <w:rsid w:val="00F66F42"/>
    <w:rsid w:val="00F72903"/>
    <w:rsid w:val="00F832EB"/>
    <w:rsid w:val="00F8383D"/>
    <w:rsid w:val="00F8516B"/>
    <w:rsid w:val="00F85B34"/>
    <w:rsid w:val="00F93043"/>
    <w:rsid w:val="00F97ED8"/>
    <w:rsid w:val="00FA3271"/>
    <w:rsid w:val="00FA3857"/>
    <w:rsid w:val="00FA3A0B"/>
    <w:rsid w:val="00FA6619"/>
    <w:rsid w:val="00FC731E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5ED8"/>
  <w15:chartTrackingRefBased/>
  <w15:docId w15:val="{AB5D51C5-F7E1-9149-9862-11F6F0A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2761"/>
    <w:pPr>
      <w:ind w:left="938" w:hanging="71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61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B031B"/>
    <w:pPr>
      <w:spacing w:line="360" w:lineRule="auto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B031B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402761"/>
    <w:pPr>
      <w:ind w:left="938" w:hanging="721"/>
    </w:pPr>
  </w:style>
  <w:style w:type="paragraph" w:customStyle="1" w:styleId="TableParagraph">
    <w:name w:val="Table Paragraph"/>
    <w:basedOn w:val="Normal"/>
    <w:uiPriority w:val="1"/>
    <w:qFormat/>
    <w:rsid w:val="00402761"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2668"/>
  </w:style>
  <w:style w:type="table" w:styleId="TableGrid">
    <w:name w:val="Table Grid"/>
    <w:basedOn w:val="TableNormal"/>
    <w:uiPriority w:val="39"/>
    <w:rsid w:val="0028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11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Agenda July 2023</vt:lpstr>
    </vt:vector>
  </TitlesOfParts>
  <Manager/>
  <Company>Hayfield Parish Council</Company>
  <LinksUpToDate>false</LinksUpToDate>
  <CharactersWithSpaces>4508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 July 2023</dc:title>
  <dc:subject/>
  <dc:creator>Parish Clerk</dc:creator>
  <cp:keywords/>
  <dc:description/>
  <cp:lastModifiedBy>Parish Clerk</cp:lastModifiedBy>
  <cp:revision>5</cp:revision>
  <cp:lastPrinted>2024-07-17T13:41:00Z</cp:lastPrinted>
  <dcterms:created xsi:type="dcterms:W3CDTF">2024-07-25T14:18:00Z</dcterms:created>
  <dcterms:modified xsi:type="dcterms:W3CDTF">2024-08-15T14:08:00Z</dcterms:modified>
  <cp:category/>
</cp:coreProperties>
</file>